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6D17AC">
      <w:pPr>
        <w:adjustRightInd w:val="0"/>
        <w:snapToGrid w:val="0"/>
        <w:spacing w:after="156" w:afterLines="50" w:line="500" w:lineRule="exact"/>
        <w:rPr>
          <w:rFonts w:eastAsia="仿宋"/>
          <w:sz w:val="36"/>
          <w:szCs w:val="30"/>
        </w:rPr>
      </w:pPr>
      <w:bookmarkStart w:id="3" w:name="_GoBack"/>
      <w:bookmarkEnd w:id="3"/>
      <w:r>
        <w:rPr>
          <w:rFonts w:hint="default" w:ascii="Times New Roman" w:hAnsi="Times New Roman" w:eastAsia="黑体" w:cs="Times New Roman"/>
          <w:bCs/>
          <w:sz w:val="32"/>
          <w:szCs w:val="30"/>
        </w:rPr>
        <w:t>附件</w:t>
      </w:r>
      <w:r>
        <w:rPr>
          <w:rFonts w:hint="default" w:ascii="Times New Roman" w:hAnsi="Times New Roman" w:eastAsia="黑体" w:cs="Times New Roman"/>
          <w:bCs/>
          <w:sz w:val="32"/>
          <w:szCs w:val="30"/>
          <w:lang w:val="en-US" w:eastAsia="zh-CN"/>
        </w:rPr>
        <w:t>2</w:t>
      </w:r>
      <w:r>
        <w:rPr>
          <w:rFonts w:hint="default" w:ascii="Times New Roman" w:hAnsi="Times New Roman" w:eastAsia="仿宋" w:cs="Times New Roman"/>
          <w:sz w:val="36"/>
          <w:szCs w:val="30"/>
        </w:rPr>
        <w:t xml:space="preserve">   </w:t>
      </w:r>
      <w:r>
        <w:rPr>
          <w:rFonts w:eastAsia="仿宋"/>
          <w:sz w:val="36"/>
          <w:szCs w:val="30"/>
        </w:rPr>
        <w:t xml:space="preserve">         </w:t>
      </w:r>
    </w:p>
    <w:p w14:paraId="7E56D04A">
      <w:pPr>
        <w:keepNext w:val="0"/>
        <w:keepLines w:val="0"/>
        <w:pageBreakBefore w:val="0"/>
        <w:widowControl w:val="0"/>
        <w:kinsoku/>
        <w:wordWrap/>
        <w:overflowPunct/>
        <w:topLinePunct w:val="0"/>
        <w:autoSpaceDE/>
        <w:autoSpaceDN/>
        <w:bidi w:val="0"/>
        <w:adjustRightInd w:val="0"/>
        <w:snapToGrid w:val="0"/>
        <w:spacing w:before="469" w:beforeLines="150" w:after="313" w:afterLines="100" w:line="500" w:lineRule="exact"/>
        <w:jc w:val="center"/>
        <w:textAlignment w:val="auto"/>
        <w:rPr>
          <w:rFonts w:ascii="方正小标宋简体" w:eastAsia="方正小标宋简体"/>
          <w:sz w:val="44"/>
          <w:szCs w:val="36"/>
        </w:rPr>
      </w:pPr>
      <w:r>
        <w:rPr>
          <w:rFonts w:hint="eastAsia" w:ascii="方正小标宋简体" w:eastAsia="方正小标宋简体"/>
          <w:sz w:val="44"/>
          <w:szCs w:val="36"/>
        </w:rPr>
        <w:t>高等学校实验室安全检查项目表（</w:t>
      </w:r>
      <w:r>
        <w:rPr>
          <w:rFonts w:eastAsia="方正小标宋简体"/>
          <w:sz w:val="44"/>
          <w:szCs w:val="36"/>
        </w:rPr>
        <w:t>2026</w:t>
      </w:r>
      <w:r>
        <w:rPr>
          <w:rFonts w:hint="eastAsia" w:ascii="方正小标宋简体" w:eastAsia="方正小标宋简体"/>
          <w:sz w:val="44"/>
          <w:szCs w:val="36"/>
        </w:rPr>
        <w:t>年）</w:t>
      </w:r>
    </w:p>
    <w:tbl>
      <w:tblPr>
        <w:tblStyle w:val="18"/>
        <w:tblW w:w="148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3703"/>
        <w:gridCol w:w="7777"/>
        <w:gridCol w:w="2543"/>
      </w:tblGrid>
      <w:tr w14:paraId="56805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848" w:type="dxa"/>
            <w:tcMar>
              <w:left w:w="45" w:type="dxa"/>
              <w:right w:w="45" w:type="dxa"/>
            </w:tcMar>
            <w:vAlign w:val="center"/>
          </w:tcPr>
          <w:p w14:paraId="719C7B41">
            <w:pPr>
              <w:pageBreakBefore w:val="0"/>
              <w:kinsoku/>
              <w:wordWrap/>
              <w:overflowPunct/>
              <w:topLinePunct w:val="0"/>
              <w:bidi w:val="0"/>
              <w:snapToGrid/>
              <w:spacing w:after="0" w:line="300" w:lineRule="exact"/>
              <w:textAlignment w:val="auto"/>
              <w:rPr>
                <w:rFonts w:hint="eastAsia" w:ascii="黑体" w:hAnsi="黑体" w:eastAsia="黑体"/>
                <w:b/>
                <w:bCs/>
                <w:color w:val="auto"/>
                <w:kern w:val="0"/>
                <w:szCs w:val="21"/>
              </w:rPr>
            </w:pPr>
            <w:r>
              <w:rPr>
                <w:rFonts w:ascii="黑体" w:hAnsi="黑体" w:eastAsia="黑体"/>
                <w:b/>
                <w:bCs/>
                <w:color w:val="auto"/>
                <w:kern w:val="0"/>
                <w:szCs w:val="21"/>
              </w:rPr>
              <w:t>序号</w:t>
            </w:r>
          </w:p>
        </w:tc>
        <w:tc>
          <w:tcPr>
            <w:tcW w:w="3703" w:type="dxa"/>
            <w:tcMar>
              <w:left w:w="45" w:type="dxa"/>
              <w:right w:w="45" w:type="dxa"/>
            </w:tcMar>
            <w:vAlign w:val="center"/>
          </w:tcPr>
          <w:p w14:paraId="004C9C12">
            <w:pPr>
              <w:pageBreakBefore w:val="0"/>
              <w:kinsoku/>
              <w:wordWrap/>
              <w:overflowPunct/>
              <w:topLinePunct w:val="0"/>
              <w:bidi w:val="0"/>
              <w:snapToGrid/>
              <w:spacing w:after="0" w:line="300" w:lineRule="exact"/>
              <w:textAlignment w:val="auto"/>
              <w:rPr>
                <w:rFonts w:hint="eastAsia" w:ascii="黑体" w:hAnsi="黑体" w:eastAsia="黑体"/>
                <w:b/>
                <w:bCs/>
                <w:color w:val="auto"/>
                <w:kern w:val="0"/>
                <w:szCs w:val="21"/>
              </w:rPr>
            </w:pPr>
            <w:r>
              <w:rPr>
                <w:rFonts w:ascii="黑体" w:hAnsi="黑体" w:eastAsia="黑体"/>
                <w:b/>
                <w:bCs/>
                <w:color w:val="auto"/>
                <w:kern w:val="0"/>
                <w:szCs w:val="21"/>
              </w:rPr>
              <w:t>检查项目</w:t>
            </w:r>
          </w:p>
        </w:tc>
        <w:tc>
          <w:tcPr>
            <w:tcW w:w="7777" w:type="dxa"/>
            <w:tcMar>
              <w:left w:w="45" w:type="dxa"/>
              <w:right w:w="45" w:type="dxa"/>
            </w:tcMar>
            <w:vAlign w:val="center"/>
          </w:tcPr>
          <w:p w14:paraId="59A2C8B1">
            <w:pPr>
              <w:pageBreakBefore w:val="0"/>
              <w:kinsoku/>
              <w:wordWrap/>
              <w:overflowPunct/>
              <w:topLinePunct w:val="0"/>
              <w:bidi w:val="0"/>
              <w:snapToGrid/>
              <w:spacing w:after="0" w:line="300" w:lineRule="exact"/>
              <w:textAlignment w:val="auto"/>
              <w:rPr>
                <w:rFonts w:hint="eastAsia" w:ascii="黑体" w:hAnsi="黑体" w:eastAsia="黑体"/>
                <w:b/>
                <w:bCs/>
                <w:color w:val="auto"/>
                <w:kern w:val="0"/>
                <w:szCs w:val="21"/>
              </w:rPr>
            </w:pPr>
            <w:r>
              <w:rPr>
                <w:rFonts w:ascii="黑体" w:hAnsi="黑体" w:eastAsia="黑体"/>
                <w:b/>
                <w:bCs/>
                <w:color w:val="auto"/>
                <w:kern w:val="0"/>
                <w:szCs w:val="21"/>
              </w:rPr>
              <w:t>检查要点</w:t>
            </w:r>
          </w:p>
        </w:tc>
        <w:tc>
          <w:tcPr>
            <w:tcW w:w="2543" w:type="dxa"/>
            <w:tcMar>
              <w:left w:w="45" w:type="dxa"/>
              <w:right w:w="45" w:type="dxa"/>
            </w:tcMar>
            <w:vAlign w:val="center"/>
          </w:tcPr>
          <w:p w14:paraId="0082C5CF">
            <w:pPr>
              <w:pageBreakBefore w:val="0"/>
              <w:kinsoku/>
              <w:wordWrap/>
              <w:overflowPunct/>
              <w:topLinePunct w:val="0"/>
              <w:bidi w:val="0"/>
              <w:snapToGrid/>
              <w:spacing w:after="0" w:line="300" w:lineRule="exact"/>
              <w:textAlignment w:val="auto"/>
              <w:rPr>
                <w:rFonts w:hint="eastAsia" w:ascii="黑体" w:hAnsi="黑体" w:eastAsia="黑体"/>
                <w:b/>
                <w:bCs/>
                <w:color w:val="auto"/>
                <w:kern w:val="0"/>
                <w:szCs w:val="21"/>
              </w:rPr>
            </w:pPr>
            <w:r>
              <w:rPr>
                <w:rFonts w:ascii="黑体" w:hAnsi="黑体" w:eastAsia="黑体"/>
                <w:b/>
                <w:bCs/>
                <w:color w:val="auto"/>
                <w:kern w:val="0"/>
                <w:szCs w:val="21"/>
              </w:rPr>
              <w:t>情况记录</w:t>
            </w:r>
          </w:p>
        </w:tc>
      </w:tr>
      <w:tr w14:paraId="1B6CB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CCE612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w:t>
            </w:r>
          </w:p>
        </w:tc>
        <w:tc>
          <w:tcPr>
            <w:tcW w:w="14023" w:type="dxa"/>
            <w:gridSpan w:val="3"/>
            <w:tcMar>
              <w:left w:w="45" w:type="dxa"/>
              <w:right w:w="45" w:type="dxa"/>
            </w:tcMar>
            <w:vAlign w:val="center"/>
          </w:tcPr>
          <w:p w14:paraId="3F70440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责任体系</w:t>
            </w:r>
          </w:p>
        </w:tc>
      </w:tr>
      <w:tr w14:paraId="27434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3C2B62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1.1</w:t>
            </w:r>
          </w:p>
        </w:tc>
        <w:tc>
          <w:tcPr>
            <w:tcW w:w="14023" w:type="dxa"/>
            <w:gridSpan w:val="3"/>
            <w:tcMar>
              <w:left w:w="45" w:type="dxa"/>
              <w:right w:w="45" w:type="dxa"/>
            </w:tcMar>
            <w:vAlign w:val="center"/>
          </w:tcPr>
          <w:p w14:paraId="2358113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学校层面安全责任体系</w:t>
            </w:r>
          </w:p>
        </w:tc>
      </w:tr>
      <w:tr w14:paraId="6C82A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A34AE9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1.1.1</w:t>
            </w:r>
          </w:p>
        </w:tc>
        <w:tc>
          <w:tcPr>
            <w:tcW w:w="3703" w:type="dxa"/>
            <w:tcMar>
              <w:left w:w="45" w:type="dxa"/>
              <w:right w:w="45" w:type="dxa"/>
            </w:tcMar>
            <w:vAlign w:val="center"/>
          </w:tcPr>
          <w:p w14:paraId="014AC45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color w:val="auto"/>
                <w:kern w:val="0"/>
                <w:szCs w:val="21"/>
              </w:rPr>
              <w:t>实验室安全工作纳入学校决策研究事项</w:t>
            </w:r>
          </w:p>
        </w:tc>
        <w:tc>
          <w:tcPr>
            <w:tcW w:w="7777" w:type="dxa"/>
            <w:tcMar>
              <w:left w:w="45" w:type="dxa"/>
              <w:right w:w="45" w:type="dxa"/>
            </w:tcMar>
            <w:vAlign w:val="center"/>
          </w:tcPr>
          <w:p w14:paraId="103FDAC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（1）有学校相关会议（校务会议、党委常委会会议等）纪要；内容包含实验室安全工作</w:t>
            </w:r>
          </w:p>
        </w:tc>
        <w:tc>
          <w:tcPr>
            <w:tcW w:w="2543" w:type="dxa"/>
            <w:tcMar>
              <w:left w:w="45" w:type="dxa"/>
              <w:right w:w="45" w:type="dxa"/>
            </w:tcMar>
            <w:vAlign w:val="center"/>
          </w:tcPr>
          <w:p w14:paraId="4AFABD3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0A0C0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8F0152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1.1.2</w:t>
            </w:r>
          </w:p>
        </w:tc>
        <w:tc>
          <w:tcPr>
            <w:tcW w:w="3703" w:type="dxa"/>
            <w:tcMar>
              <w:left w:w="45" w:type="dxa"/>
              <w:right w:w="45" w:type="dxa"/>
            </w:tcMar>
            <w:vAlign w:val="center"/>
          </w:tcPr>
          <w:p w14:paraId="78B2E55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color w:val="auto"/>
                <w:kern w:val="0"/>
                <w:szCs w:val="21"/>
              </w:rPr>
              <w:t>有校级实验室安全工作责任人与领导机构</w:t>
            </w:r>
          </w:p>
        </w:tc>
        <w:tc>
          <w:tcPr>
            <w:tcW w:w="7777" w:type="dxa"/>
            <w:tcMar>
              <w:left w:w="45" w:type="dxa"/>
              <w:right w:w="45" w:type="dxa"/>
            </w:tcMar>
            <w:vAlign w:val="center"/>
          </w:tcPr>
          <w:p w14:paraId="5E8AE6F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有校级正式发文，明确学校党政主要负责人是第一责任人；分管实验室安全工作的校领导是重要领导责任人，协助第一责任人负责实验室安全工作；其他校领导在分管工作范围内对实验室安全工作负有支持、监督和指导职责；设立校级领导机构，明确其部门组成和工作职责，分管实验室安全工作的校领导为该机构负责人</w:t>
            </w:r>
          </w:p>
        </w:tc>
        <w:tc>
          <w:tcPr>
            <w:tcW w:w="2543" w:type="dxa"/>
            <w:tcMar>
              <w:left w:w="45" w:type="dxa"/>
              <w:right w:w="45" w:type="dxa"/>
            </w:tcMar>
            <w:vAlign w:val="center"/>
          </w:tcPr>
          <w:p w14:paraId="7606106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0F5A0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B93A8A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1.1.3</w:t>
            </w:r>
          </w:p>
        </w:tc>
        <w:tc>
          <w:tcPr>
            <w:tcW w:w="3703" w:type="dxa"/>
            <w:tcMar>
              <w:left w:w="45" w:type="dxa"/>
              <w:right w:w="45" w:type="dxa"/>
            </w:tcMar>
            <w:vAlign w:val="center"/>
          </w:tcPr>
          <w:p w14:paraId="0DF063C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有明确的实验室安全管理职能部门</w:t>
            </w:r>
          </w:p>
        </w:tc>
        <w:tc>
          <w:tcPr>
            <w:tcW w:w="7777" w:type="dxa"/>
            <w:tcMar>
              <w:left w:w="45" w:type="dxa"/>
              <w:right w:w="45" w:type="dxa"/>
            </w:tcMar>
            <w:vAlign w:val="center"/>
          </w:tcPr>
          <w:p w14:paraId="240E801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w:t>
            </w:r>
            <w:r>
              <w:rPr>
                <w:rFonts w:hint="default" w:ascii="Times New Roman" w:hAnsi="Times New Roman" w:eastAsia="仿宋_GB2312" w:cs="Times New Roman"/>
                <w:b/>
                <w:bCs/>
                <w:color w:val="auto"/>
                <w:kern w:val="0"/>
                <w:szCs w:val="21"/>
              </w:rPr>
              <w:t>明确牵头职能部门负责实验室安全工作，相关职能部门切实配合落实工作</w:t>
            </w:r>
          </w:p>
        </w:tc>
        <w:tc>
          <w:tcPr>
            <w:tcW w:w="2543" w:type="dxa"/>
            <w:tcMar>
              <w:left w:w="45" w:type="dxa"/>
              <w:right w:w="45" w:type="dxa"/>
            </w:tcMar>
            <w:vAlign w:val="center"/>
          </w:tcPr>
          <w:p w14:paraId="79D45CE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5A2AD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269992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1.1.4</w:t>
            </w:r>
          </w:p>
        </w:tc>
        <w:tc>
          <w:tcPr>
            <w:tcW w:w="3703" w:type="dxa"/>
            <w:tcMar>
              <w:left w:w="45" w:type="dxa"/>
              <w:right w:w="45" w:type="dxa"/>
            </w:tcMar>
            <w:vAlign w:val="center"/>
          </w:tcPr>
          <w:p w14:paraId="478E2858">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学校与院系签订实验室安全责任书</w:t>
            </w:r>
          </w:p>
        </w:tc>
        <w:tc>
          <w:tcPr>
            <w:tcW w:w="7777" w:type="dxa"/>
            <w:tcMar>
              <w:left w:w="45" w:type="dxa"/>
              <w:right w:w="45" w:type="dxa"/>
            </w:tcMar>
            <w:vAlign w:val="center"/>
          </w:tcPr>
          <w:p w14:paraId="67B404E4">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（4）档案或信息系统里有学校领导与院系负责人每年签字盖章的安全责任书</w:t>
            </w:r>
          </w:p>
        </w:tc>
        <w:tc>
          <w:tcPr>
            <w:tcW w:w="2543" w:type="dxa"/>
            <w:tcMar>
              <w:left w:w="45" w:type="dxa"/>
              <w:right w:w="45" w:type="dxa"/>
            </w:tcMar>
            <w:vAlign w:val="center"/>
          </w:tcPr>
          <w:p w14:paraId="1724FB3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513C2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66D5C8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1.2</w:t>
            </w:r>
          </w:p>
        </w:tc>
        <w:tc>
          <w:tcPr>
            <w:tcW w:w="14023" w:type="dxa"/>
            <w:gridSpan w:val="3"/>
            <w:tcMar>
              <w:left w:w="45" w:type="dxa"/>
              <w:right w:w="45" w:type="dxa"/>
            </w:tcMar>
            <w:vAlign w:val="center"/>
          </w:tcPr>
          <w:p w14:paraId="6ACE896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院系层面安全责任体系</w:t>
            </w:r>
          </w:p>
        </w:tc>
      </w:tr>
      <w:tr w14:paraId="1075F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8E95DC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1.2.1</w:t>
            </w:r>
          </w:p>
        </w:tc>
        <w:tc>
          <w:tcPr>
            <w:tcW w:w="3703" w:type="dxa"/>
            <w:tcMar>
              <w:left w:w="45" w:type="dxa"/>
              <w:right w:w="45" w:type="dxa"/>
            </w:tcMar>
            <w:vAlign w:val="center"/>
          </w:tcPr>
          <w:p w14:paraId="3C07FFD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有院系实验室安全工作队伍</w:t>
            </w:r>
          </w:p>
        </w:tc>
        <w:tc>
          <w:tcPr>
            <w:tcW w:w="7777" w:type="dxa"/>
            <w:tcMar>
              <w:left w:w="45" w:type="dxa"/>
              <w:right w:w="45" w:type="dxa"/>
            </w:tcMar>
            <w:vAlign w:val="center"/>
          </w:tcPr>
          <w:p w14:paraId="359936A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（5）</w:t>
            </w:r>
            <w:r>
              <w:rPr>
                <w:rFonts w:hint="default" w:ascii="Times New Roman" w:hAnsi="Times New Roman" w:eastAsia="仿宋_GB2312" w:cs="Times New Roman"/>
                <w:b/>
                <w:bCs w:val="0"/>
                <w:color w:val="auto"/>
                <w:kern w:val="0"/>
                <w:szCs w:val="21"/>
              </w:rPr>
              <w:t>院系安全工作队伍由党政负责人、分管实验室安全的领导、院系实验室安全助理或安全主管、实验室负责人、实验室安全员等共同组成。</w:t>
            </w:r>
          </w:p>
          <w:p w14:paraId="5EFEA8D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（6）有带文号的院系文件，如党政联席会/办公会等纪要、通知或制度等明确其内容</w:t>
            </w:r>
          </w:p>
        </w:tc>
        <w:tc>
          <w:tcPr>
            <w:tcW w:w="2543" w:type="dxa"/>
            <w:tcMar>
              <w:left w:w="45" w:type="dxa"/>
              <w:right w:w="45" w:type="dxa"/>
            </w:tcMar>
            <w:vAlign w:val="center"/>
          </w:tcPr>
          <w:p w14:paraId="191ED52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A894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CC5CE4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1.2.2</w:t>
            </w:r>
          </w:p>
        </w:tc>
        <w:tc>
          <w:tcPr>
            <w:tcW w:w="3703" w:type="dxa"/>
            <w:tcMar>
              <w:left w:w="45" w:type="dxa"/>
              <w:right w:w="45" w:type="dxa"/>
            </w:tcMar>
            <w:vAlign w:val="center"/>
          </w:tcPr>
          <w:p w14:paraId="2218D4B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院系签订实验室安全责任书</w:t>
            </w:r>
          </w:p>
        </w:tc>
        <w:tc>
          <w:tcPr>
            <w:tcW w:w="7777" w:type="dxa"/>
            <w:tcMar>
              <w:left w:w="45" w:type="dxa"/>
              <w:right w:w="45" w:type="dxa"/>
            </w:tcMar>
            <w:vAlign w:val="center"/>
          </w:tcPr>
          <w:p w14:paraId="5510D87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（7）院系签订责任书到实验房间安全责任人</w:t>
            </w:r>
          </w:p>
        </w:tc>
        <w:tc>
          <w:tcPr>
            <w:tcW w:w="2543" w:type="dxa"/>
            <w:tcMar>
              <w:left w:w="45" w:type="dxa"/>
              <w:right w:w="45" w:type="dxa"/>
            </w:tcMar>
            <w:vAlign w:val="center"/>
          </w:tcPr>
          <w:p w14:paraId="37D0C02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9541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8C5AF5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1.3</w:t>
            </w:r>
          </w:p>
        </w:tc>
        <w:tc>
          <w:tcPr>
            <w:tcW w:w="14023" w:type="dxa"/>
            <w:gridSpan w:val="3"/>
            <w:tcMar>
              <w:left w:w="45" w:type="dxa"/>
              <w:right w:w="45" w:type="dxa"/>
            </w:tcMar>
            <w:vAlign w:val="center"/>
          </w:tcPr>
          <w:p w14:paraId="5F4A4CC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
                <w:color w:val="auto"/>
                <w:kern w:val="0"/>
                <w:szCs w:val="21"/>
              </w:rPr>
              <w:t>实验室层面安全责任体系</w:t>
            </w:r>
          </w:p>
        </w:tc>
      </w:tr>
      <w:tr w14:paraId="7BFCF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8486EF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1.3.1</w:t>
            </w:r>
          </w:p>
        </w:tc>
        <w:tc>
          <w:tcPr>
            <w:tcW w:w="3703" w:type="dxa"/>
            <w:tcMar>
              <w:left w:w="45" w:type="dxa"/>
              <w:right w:w="45" w:type="dxa"/>
            </w:tcMar>
            <w:vAlign w:val="center"/>
          </w:tcPr>
          <w:p w14:paraId="4EC1A0C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明确实验室层面各级责任人及其职责</w:t>
            </w:r>
          </w:p>
        </w:tc>
        <w:tc>
          <w:tcPr>
            <w:tcW w:w="7777" w:type="dxa"/>
            <w:tcMar>
              <w:left w:w="45" w:type="dxa"/>
              <w:right w:w="45" w:type="dxa"/>
            </w:tcMar>
            <w:vAlign w:val="center"/>
          </w:tcPr>
          <w:p w14:paraId="21A25B6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（8）实验室负责人是本实验室安全工作的直接责任人，应严格落实实验室安全准入、隐患整改、个人防护等日常安全管理工作，切实保障实验室安全；</w:t>
            </w:r>
            <w:r>
              <w:rPr>
                <w:rFonts w:hint="default" w:ascii="Times New Roman" w:hAnsi="Times New Roman" w:eastAsia="仿宋_GB2312" w:cs="Times New Roman"/>
                <w:b/>
                <w:bCs/>
                <w:color w:val="auto"/>
                <w:kern w:val="0"/>
                <w:szCs w:val="21"/>
              </w:rPr>
              <w:t>项目负责人（含教学课程任课教师）是项目安全的第一责任人，须对项目进行危险源辨识和风险评估，并制定防范措施及现场处置方案；实验室负责人应指定安全员，负责本实验室日常安全管理</w:t>
            </w:r>
          </w:p>
        </w:tc>
        <w:tc>
          <w:tcPr>
            <w:tcW w:w="2543" w:type="dxa"/>
            <w:tcMar>
              <w:left w:w="45" w:type="dxa"/>
              <w:right w:w="45" w:type="dxa"/>
            </w:tcMar>
            <w:vAlign w:val="center"/>
          </w:tcPr>
          <w:p w14:paraId="4F0E3A7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2FE6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5E6172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1.3.2</w:t>
            </w:r>
          </w:p>
        </w:tc>
        <w:tc>
          <w:tcPr>
            <w:tcW w:w="3703" w:type="dxa"/>
            <w:tcMar>
              <w:left w:w="45" w:type="dxa"/>
              <w:right w:w="45" w:type="dxa"/>
            </w:tcMar>
            <w:vAlign w:val="center"/>
          </w:tcPr>
          <w:p w14:paraId="6D7C55A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实验室层面签订实验室安全责任书</w:t>
            </w:r>
          </w:p>
        </w:tc>
        <w:tc>
          <w:tcPr>
            <w:tcW w:w="7777" w:type="dxa"/>
            <w:tcMar>
              <w:left w:w="45" w:type="dxa"/>
              <w:right w:w="45" w:type="dxa"/>
            </w:tcMar>
            <w:vAlign w:val="center"/>
          </w:tcPr>
          <w:p w14:paraId="7DE4CDE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（9）实验室负责人与相关实验人员签订实验室安全责任书</w:t>
            </w:r>
          </w:p>
        </w:tc>
        <w:tc>
          <w:tcPr>
            <w:tcW w:w="2543" w:type="dxa"/>
            <w:tcMar>
              <w:left w:w="45" w:type="dxa"/>
              <w:right w:w="45" w:type="dxa"/>
            </w:tcMar>
            <w:vAlign w:val="center"/>
          </w:tcPr>
          <w:p w14:paraId="5DDEDD1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6152D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202F51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1.4</w:t>
            </w:r>
          </w:p>
        </w:tc>
        <w:tc>
          <w:tcPr>
            <w:tcW w:w="14023" w:type="dxa"/>
            <w:gridSpan w:val="3"/>
            <w:tcMar>
              <w:left w:w="45" w:type="dxa"/>
              <w:right w:w="45" w:type="dxa"/>
            </w:tcMar>
            <w:vAlign w:val="center"/>
          </w:tcPr>
          <w:p w14:paraId="411A37D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color w:val="auto"/>
                <w:kern w:val="0"/>
                <w:szCs w:val="21"/>
              </w:rPr>
              <w:t>安全工作奖惩机制</w:t>
            </w:r>
          </w:p>
        </w:tc>
      </w:tr>
      <w:tr w14:paraId="70CEC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755F9C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1.4.1</w:t>
            </w:r>
          </w:p>
        </w:tc>
        <w:tc>
          <w:tcPr>
            <w:tcW w:w="3703" w:type="dxa"/>
            <w:tcMar>
              <w:left w:w="45" w:type="dxa"/>
              <w:right w:w="45" w:type="dxa"/>
            </w:tcMar>
            <w:vAlign w:val="center"/>
          </w:tcPr>
          <w:p w14:paraId="1672561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奖惩机制落实到岗位或个人</w:t>
            </w:r>
          </w:p>
        </w:tc>
        <w:tc>
          <w:tcPr>
            <w:tcW w:w="7777" w:type="dxa"/>
            <w:tcMar>
              <w:left w:w="45" w:type="dxa"/>
              <w:right w:w="45" w:type="dxa"/>
            </w:tcMar>
            <w:vAlign w:val="center"/>
          </w:tcPr>
          <w:p w14:paraId="4FC546C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（10）有明确的奖惩管理办法，以及实际执行情况</w:t>
            </w:r>
          </w:p>
        </w:tc>
        <w:tc>
          <w:tcPr>
            <w:tcW w:w="2543" w:type="dxa"/>
            <w:tcMar>
              <w:left w:w="45" w:type="dxa"/>
              <w:right w:w="45" w:type="dxa"/>
            </w:tcMar>
            <w:vAlign w:val="center"/>
          </w:tcPr>
          <w:p w14:paraId="7F55CB4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BD70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11177D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1.4.2</w:t>
            </w:r>
          </w:p>
        </w:tc>
        <w:tc>
          <w:tcPr>
            <w:tcW w:w="3703" w:type="dxa"/>
            <w:tcMar>
              <w:left w:w="45" w:type="dxa"/>
              <w:right w:w="45" w:type="dxa"/>
            </w:tcMar>
            <w:vAlign w:val="center"/>
          </w:tcPr>
          <w:p w14:paraId="6993C34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依法依规进行事故调查和责任追究</w:t>
            </w:r>
          </w:p>
        </w:tc>
        <w:tc>
          <w:tcPr>
            <w:tcW w:w="7777" w:type="dxa"/>
            <w:tcMar>
              <w:left w:w="45" w:type="dxa"/>
              <w:right w:w="45" w:type="dxa"/>
            </w:tcMar>
            <w:vAlign w:val="center"/>
          </w:tcPr>
          <w:p w14:paraId="34D5409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（11）检查事故处理执行情况</w:t>
            </w:r>
          </w:p>
        </w:tc>
        <w:tc>
          <w:tcPr>
            <w:tcW w:w="2543" w:type="dxa"/>
            <w:tcMar>
              <w:left w:w="45" w:type="dxa"/>
              <w:right w:w="45" w:type="dxa"/>
            </w:tcMar>
            <w:vAlign w:val="center"/>
          </w:tcPr>
          <w:p w14:paraId="29CC383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0BAC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DE9B86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1.5</w:t>
            </w:r>
          </w:p>
        </w:tc>
        <w:tc>
          <w:tcPr>
            <w:tcW w:w="14023" w:type="dxa"/>
            <w:gridSpan w:val="3"/>
            <w:tcMar>
              <w:left w:w="45" w:type="dxa"/>
              <w:right w:w="45" w:type="dxa"/>
            </w:tcMar>
            <w:vAlign w:val="center"/>
          </w:tcPr>
          <w:p w14:paraId="2D7E32C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经费保障</w:t>
            </w:r>
          </w:p>
        </w:tc>
      </w:tr>
      <w:tr w14:paraId="71AEE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E0C879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1.5.1</w:t>
            </w:r>
          </w:p>
        </w:tc>
        <w:tc>
          <w:tcPr>
            <w:tcW w:w="3703" w:type="dxa"/>
            <w:tcMar>
              <w:left w:w="45" w:type="dxa"/>
              <w:right w:w="45" w:type="dxa"/>
            </w:tcMar>
            <w:vAlign w:val="center"/>
          </w:tcPr>
          <w:p w14:paraId="204479D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学校每年有实验室安全常规经费预算</w:t>
            </w:r>
          </w:p>
        </w:tc>
        <w:tc>
          <w:tcPr>
            <w:tcW w:w="7777" w:type="dxa"/>
            <w:tcMar>
              <w:left w:w="45" w:type="dxa"/>
              <w:right w:w="45" w:type="dxa"/>
            </w:tcMar>
            <w:vAlign w:val="center"/>
          </w:tcPr>
          <w:p w14:paraId="6C5BD6E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（12）学校职能部门有预算审批凭据证明有专款用于实验室安全工作</w:t>
            </w:r>
          </w:p>
        </w:tc>
        <w:tc>
          <w:tcPr>
            <w:tcW w:w="2543" w:type="dxa"/>
            <w:tcMar>
              <w:left w:w="45" w:type="dxa"/>
              <w:right w:w="45" w:type="dxa"/>
            </w:tcMar>
            <w:vAlign w:val="center"/>
          </w:tcPr>
          <w:p w14:paraId="1703FC7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169D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ADD624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1.5.2</w:t>
            </w:r>
          </w:p>
        </w:tc>
        <w:tc>
          <w:tcPr>
            <w:tcW w:w="3703" w:type="dxa"/>
            <w:tcMar>
              <w:left w:w="45" w:type="dxa"/>
              <w:right w:w="45" w:type="dxa"/>
            </w:tcMar>
            <w:vAlign w:val="center"/>
          </w:tcPr>
          <w:p w14:paraId="2E236B3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学校有专项经费投入实验室安全工作，重大安全隐患整改经费能够落实</w:t>
            </w:r>
          </w:p>
        </w:tc>
        <w:tc>
          <w:tcPr>
            <w:tcW w:w="7777" w:type="dxa"/>
            <w:tcMar>
              <w:left w:w="45" w:type="dxa"/>
              <w:right w:w="45" w:type="dxa"/>
            </w:tcMar>
            <w:vAlign w:val="center"/>
          </w:tcPr>
          <w:p w14:paraId="01FB141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（13）</w:t>
            </w:r>
            <w:r>
              <w:rPr>
                <w:rFonts w:hint="default" w:ascii="Times New Roman" w:hAnsi="Times New Roman" w:eastAsia="仿宋_GB2312" w:cs="Times New Roman"/>
                <w:b/>
                <w:bCs w:val="0"/>
                <w:color w:val="auto"/>
                <w:kern w:val="0"/>
                <w:szCs w:val="21"/>
              </w:rPr>
              <w:t>学校职能部门有支出凭据证明有专款用于实验室安全工作，尤其是用于重大安全隐患整改项目</w:t>
            </w:r>
          </w:p>
        </w:tc>
        <w:tc>
          <w:tcPr>
            <w:tcW w:w="2543" w:type="dxa"/>
            <w:tcMar>
              <w:left w:w="45" w:type="dxa"/>
              <w:right w:w="45" w:type="dxa"/>
            </w:tcMar>
            <w:vAlign w:val="center"/>
          </w:tcPr>
          <w:p w14:paraId="19AAC3E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58947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18BA9D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1.5.3</w:t>
            </w:r>
          </w:p>
        </w:tc>
        <w:tc>
          <w:tcPr>
            <w:tcW w:w="3703" w:type="dxa"/>
            <w:tcMar>
              <w:left w:w="45" w:type="dxa"/>
              <w:right w:w="45" w:type="dxa"/>
            </w:tcMar>
            <w:vAlign w:val="center"/>
          </w:tcPr>
          <w:p w14:paraId="027B92A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院系有自筹经费投入实验室安全建设与管理</w:t>
            </w:r>
          </w:p>
        </w:tc>
        <w:tc>
          <w:tcPr>
            <w:tcW w:w="7777" w:type="dxa"/>
            <w:tcMar>
              <w:left w:w="45" w:type="dxa"/>
              <w:right w:w="45" w:type="dxa"/>
            </w:tcMar>
            <w:vAlign w:val="center"/>
          </w:tcPr>
          <w:p w14:paraId="077F213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bCs/>
                <w:color w:val="auto"/>
                <w:kern w:val="0"/>
                <w:szCs w:val="21"/>
              </w:rPr>
              <w:t>（14）院系有支出凭据证明有专款用于实验室安全工作</w:t>
            </w:r>
          </w:p>
        </w:tc>
        <w:tc>
          <w:tcPr>
            <w:tcW w:w="2543" w:type="dxa"/>
            <w:tcMar>
              <w:left w:w="45" w:type="dxa"/>
              <w:right w:w="45" w:type="dxa"/>
            </w:tcMar>
            <w:vAlign w:val="center"/>
          </w:tcPr>
          <w:p w14:paraId="5D27003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r>
      <w:tr w14:paraId="4CFF3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9AF290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1.6</w:t>
            </w:r>
          </w:p>
        </w:tc>
        <w:tc>
          <w:tcPr>
            <w:tcW w:w="14023" w:type="dxa"/>
            <w:gridSpan w:val="3"/>
            <w:tcMar>
              <w:left w:w="45" w:type="dxa"/>
              <w:right w:w="45" w:type="dxa"/>
            </w:tcMar>
            <w:vAlign w:val="center"/>
          </w:tcPr>
          <w:p w14:paraId="0E51CAE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队伍建设</w:t>
            </w:r>
          </w:p>
        </w:tc>
      </w:tr>
      <w:tr w14:paraId="1B46F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A1F291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1.6.1</w:t>
            </w:r>
          </w:p>
        </w:tc>
        <w:tc>
          <w:tcPr>
            <w:tcW w:w="3703" w:type="dxa"/>
            <w:tcMar>
              <w:left w:w="45" w:type="dxa"/>
              <w:right w:w="45" w:type="dxa"/>
            </w:tcMar>
            <w:vAlign w:val="center"/>
          </w:tcPr>
          <w:p w14:paraId="7A0A803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学校根据需要配备专职或兼职的实验室安全管理人员</w:t>
            </w:r>
          </w:p>
        </w:tc>
        <w:tc>
          <w:tcPr>
            <w:tcW w:w="7777" w:type="dxa"/>
            <w:tcMar>
              <w:left w:w="45" w:type="dxa"/>
              <w:right w:w="45" w:type="dxa"/>
            </w:tcMar>
            <w:vAlign w:val="center"/>
          </w:tcPr>
          <w:p w14:paraId="15C345A6">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（15）有重要危险源，即</w:t>
            </w:r>
            <w:r>
              <w:rPr>
                <w:rFonts w:hint="default" w:ascii="Times New Roman" w:hAnsi="Times New Roman" w:eastAsia="仿宋_GB2312" w:cs="Times New Roman"/>
                <w:color w:val="auto"/>
                <w:szCs w:val="21"/>
              </w:rPr>
              <w:t>有毒有害（剧毒、易制爆、易制毒、爆炸品等）化学品、危险（易燃、易爆、有毒、窒息、高压等）气体、动物及病原微生物、辐射源及射线装置、同位素及核材料、危险性机械加工装置、强电强磁与激光设备、特种设备等</w:t>
            </w:r>
            <w:r>
              <w:rPr>
                <w:rFonts w:hint="default" w:ascii="Times New Roman" w:hAnsi="Times New Roman" w:eastAsia="仿宋_GB2312" w:cs="Times New Roman"/>
                <w:color w:val="auto"/>
                <w:kern w:val="0"/>
                <w:szCs w:val="21"/>
              </w:rPr>
              <w:t>的高校应依据工作量，</w:t>
            </w:r>
            <w:r>
              <w:rPr>
                <w:rFonts w:hint="default" w:ascii="Times New Roman" w:hAnsi="Times New Roman" w:eastAsia="仿宋_GB2312" w:cs="Times New Roman"/>
                <w:b/>
                <w:bCs/>
                <w:color w:val="auto"/>
                <w:kern w:val="0"/>
                <w:szCs w:val="21"/>
              </w:rPr>
              <w:t>在校级管理机构配备足够的专职实验室安全管理人员。</w:t>
            </w:r>
          </w:p>
          <w:p w14:paraId="1D89F0C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w:t>
            </w:r>
            <w:r>
              <w:rPr>
                <w:rFonts w:hint="default" w:ascii="Times New Roman" w:hAnsi="Times New Roman" w:eastAsia="仿宋_GB2312" w:cs="Times New Roman"/>
                <w:b/>
                <w:bCs/>
                <w:color w:val="auto"/>
                <w:kern w:val="0"/>
                <w:szCs w:val="21"/>
              </w:rPr>
              <w:t>有重要危险源的院系应依据工作量配备专职实验室安全管理人员</w:t>
            </w:r>
            <w:r>
              <w:rPr>
                <w:rFonts w:hint="default" w:ascii="Times New Roman" w:hAnsi="Times New Roman" w:eastAsia="仿宋_GB2312" w:cs="Times New Roman"/>
                <w:color w:val="auto"/>
                <w:kern w:val="0"/>
                <w:szCs w:val="21"/>
              </w:rPr>
              <w:t>；文、管、艺术类、数学及信息等相关院系配备兼职实验室安全管理人员</w:t>
            </w:r>
          </w:p>
        </w:tc>
        <w:tc>
          <w:tcPr>
            <w:tcW w:w="2543" w:type="dxa"/>
            <w:tcMar>
              <w:left w:w="45" w:type="dxa"/>
              <w:right w:w="45" w:type="dxa"/>
            </w:tcMar>
            <w:vAlign w:val="center"/>
          </w:tcPr>
          <w:p w14:paraId="2039363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r>
      <w:tr w14:paraId="46C89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90E2DE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1.6.2</w:t>
            </w:r>
          </w:p>
        </w:tc>
        <w:tc>
          <w:tcPr>
            <w:tcW w:w="3703" w:type="dxa"/>
            <w:tcMar>
              <w:left w:w="45" w:type="dxa"/>
              <w:right w:w="45" w:type="dxa"/>
            </w:tcMar>
            <w:vAlign w:val="center"/>
          </w:tcPr>
          <w:p w14:paraId="7DCE892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有校级实验室安全检查队伍，可以由教师、实验技术人员组成，也可以利用有相关专业能力的社会力量</w:t>
            </w:r>
          </w:p>
        </w:tc>
        <w:tc>
          <w:tcPr>
            <w:tcW w:w="7777" w:type="dxa"/>
            <w:tcMar>
              <w:left w:w="45" w:type="dxa"/>
              <w:right w:w="45" w:type="dxa"/>
            </w:tcMar>
            <w:vAlign w:val="center"/>
          </w:tcPr>
          <w:p w14:paraId="2F04CA4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（17）有文件证明学校设立了</w:t>
            </w:r>
            <w:r>
              <w:rPr>
                <w:rFonts w:hint="default" w:ascii="Times New Roman" w:hAnsi="Times New Roman" w:eastAsia="仿宋_GB2312" w:cs="Times New Roman"/>
                <w:color w:val="auto"/>
                <w:kern w:val="0"/>
                <w:szCs w:val="21"/>
              </w:rPr>
              <w:t>检查队伍，并有</w:t>
            </w:r>
            <w:r>
              <w:rPr>
                <w:rFonts w:hint="default" w:ascii="Times New Roman" w:hAnsi="Times New Roman" w:eastAsia="仿宋_GB2312" w:cs="Times New Roman"/>
                <w:bCs/>
                <w:color w:val="auto"/>
                <w:kern w:val="0"/>
                <w:szCs w:val="21"/>
              </w:rPr>
              <w:t>工作记录</w:t>
            </w:r>
          </w:p>
        </w:tc>
        <w:tc>
          <w:tcPr>
            <w:tcW w:w="2543" w:type="dxa"/>
            <w:tcMar>
              <w:left w:w="45" w:type="dxa"/>
              <w:right w:w="45" w:type="dxa"/>
            </w:tcMar>
            <w:vAlign w:val="center"/>
          </w:tcPr>
          <w:p w14:paraId="2182F8B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r>
      <w:tr w14:paraId="19EEB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8071F4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1.6.3</w:t>
            </w:r>
          </w:p>
        </w:tc>
        <w:tc>
          <w:tcPr>
            <w:tcW w:w="3703" w:type="dxa"/>
            <w:tcMar>
              <w:left w:w="45" w:type="dxa"/>
              <w:right w:w="45" w:type="dxa"/>
            </w:tcMar>
            <w:vAlign w:val="center"/>
          </w:tcPr>
          <w:p w14:paraId="4EDDCA4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各级主管实验室安全的负责人、管理人员及技术人员到岗一年内须接受实验室安全培训</w:t>
            </w:r>
          </w:p>
        </w:tc>
        <w:tc>
          <w:tcPr>
            <w:tcW w:w="7777" w:type="dxa"/>
            <w:tcMar>
              <w:left w:w="45" w:type="dxa"/>
              <w:right w:w="45" w:type="dxa"/>
            </w:tcMar>
            <w:vAlign w:val="center"/>
          </w:tcPr>
          <w:p w14:paraId="1AEC3EC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（18）有培训记录（证书、电子文档、书面记录）等证明培训及合格情况</w:t>
            </w:r>
          </w:p>
        </w:tc>
        <w:tc>
          <w:tcPr>
            <w:tcW w:w="2543" w:type="dxa"/>
            <w:tcMar>
              <w:left w:w="45" w:type="dxa"/>
              <w:right w:w="45" w:type="dxa"/>
            </w:tcMar>
            <w:vAlign w:val="center"/>
          </w:tcPr>
          <w:p w14:paraId="609859D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r>
      <w:tr w14:paraId="4750E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5B6E24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1.7</w:t>
            </w:r>
          </w:p>
        </w:tc>
        <w:tc>
          <w:tcPr>
            <w:tcW w:w="14023" w:type="dxa"/>
            <w:gridSpan w:val="3"/>
            <w:tcMar>
              <w:left w:w="45" w:type="dxa"/>
              <w:right w:w="45" w:type="dxa"/>
            </w:tcMar>
            <w:vAlign w:val="center"/>
          </w:tcPr>
          <w:p w14:paraId="2BA6B65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其他</w:t>
            </w:r>
          </w:p>
        </w:tc>
      </w:tr>
      <w:tr w14:paraId="17B34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5AC651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1.7.1</w:t>
            </w:r>
          </w:p>
        </w:tc>
        <w:tc>
          <w:tcPr>
            <w:tcW w:w="3703" w:type="dxa"/>
            <w:tcMar>
              <w:left w:w="45" w:type="dxa"/>
              <w:right w:w="45" w:type="dxa"/>
            </w:tcMar>
            <w:vAlign w:val="center"/>
          </w:tcPr>
          <w:p w14:paraId="46FECE1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采用信息化手段管理实验室安全</w:t>
            </w:r>
          </w:p>
        </w:tc>
        <w:tc>
          <w:tcPr>
            <w:tcW w:w="7777" w:type="dxa"/>
            <w:tcMar>
              <w:left w:w="45" w:type="dxa"/>
              <w:right w:w="45" w:type="dxa"/>
            </w:tcMar>
            <w:vAlign w:val="center"/>
          </w:tcPr>
          <w:p w14:paraId="01A7544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（19）学校建设信息管理等系统用于实验室安全管理</w:t>
            </w:r>
          </w:p>
        </w:tc>
        <w:tc>
          <w:tcPr>
            <w:tcW w:w="2543" w:type="dxa"/>
            <w:tcMar>
              <w:left w:w="45" w:type="dxa"/>
              <w:right w:w="45" w:type="dxa"/>
            </w:tcMar>
            <w:vAlign w:val="center"/>
          </w:tcPr>
          <w:p w14:paraId="00B31AF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r>
      <w:tr w14:paraId="6FCF7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E9D5F3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1.7.2</w:t>
            </w:r>
          </w:p>
        </w:tc>
        <w:tc>
          <w:tcPr>
            <w:tcW w:w="3703" w:type="dxa"/>
            <w:tcMar>
              <w:left w:w="45" w:type="dxa"/>
              <w:right w:w="45" w:type="dxa"/>
            </w:tcMar>
            <w:vAlign w:val="center"/>
          </w:tcPr>
          <w:p w14:paraId="189BDD6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建立实验室安全工作档案</w:t>
            </w:r>
          </w:p>
        </w:tc>
        <w:tc>
          <w:tcPr>
            <w:tcW w:w="7777" w:type="dxa"/>
            <w:tcMar>
              <w:left w:w="45" w:type="dxa"/>
              <w:right w:w="45" w:type="dxa"/>
            </w:tcMar>
            <w:vAlign w:val="center"/>
          </w:tcPr>
          <w:p w14:paraId="4524780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（20）包括责任体系、队伍建设、安全制度、奖惩、教育培训、安全检查、隐患整改、事故调查与处理、专业安全、其他相关的常规或阶段性工作等，且档案分类科学合理，便于查找</w:t>
            </w:r>
          </w:p>
        </w:tc>
        <w:tc>
          <w:tcPr>
            <w:tcW w:w="2543" w:type="dxa"/>
            <w:tcMar>
              <w:left w:w="45" w:type="dxa"/>
              <w:right w:w="45" w:type="dxa"/>
            </w:tcMar>
            <w:vAlign w:val="center"/>
          </w:tcPr>
          <w:p w14:paraId="2BFDA2C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r>
      <w:tr w14:paraId="7BE2D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8745BF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2</w:t>
            </w:r>
          </w:p>
        </w:tc>
        <w:tc>
          <w:tcPr>
            <w:tcW w:w="14023" w:type="dxa"/>
            <w:gridSpan w:val="3"/>
            <w:tcMar>
              <w:left w:w="45" w:type="dxa"/>
              <w:right w:w="45" w:type="dxa"/>
            </w:tcMar>
            <w:vAlign w:val="center"/>
          </w:tcPr>
          <w:p w14:paraId="23D08A1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规章制度</w:t>
            </w:r>
          </w:p>
        </w:tc>
      </w:tr>
      <w:tr w14:paraId="144EA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DE9743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2.1</w:t>
            </w:r>
          </w:p>
        </w:tc>
        <w:tc>
          <w:tcPr>
            <w:tcW w:w="14023" w:type="dxa"/>
            <w:gridSpan w:val="3"/>
            <w:tcMar>
              <w:left w:w="45" w:type="dxa"/>
              <w:right w:w="45" w:type="dxa"/>
            </w:tcMar>
            <w:vAlign w:val="center"/>
          </w:tcPr>
          <w:p w14:paraId="1DB091C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实验室安全管理制度</w:t>
            </w:r>
          </w:p>
        </w:tc>
      </w:tr>
      <w:tr w14:paraId="100AA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17B8F2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2.1.1</w:t>
            </w:r>
          </w:p>
        </w:tc>
        <w:tc>
          <w:tcPr>
            <w:tcW w:w="3703" w:type="dxa"/>
            <w:tcMar>
              <w:left w:w="45" w:type="dxa"/>
              <w:right w:w="45" w:type="dxa"/>
            </w:tcMar>
            <w:vAlign w:val="center"/>
          </w:tcPr>
          <w:p w14:paraId="1FE3B39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学校和院系应有正式发文的实验室安全管理制度</w:t>
            </w:r>
          </w:p>
        </w:tc>
        <w:tc>
          <w:tcPr>
            <w:tcW w:w="7777" w:type="dxa"/>
            <w:tcMar>
              <w:left w:w="45" w:type="dxa"/>
              <w:right w:w="45" w:type="dxa"/>
            </w:tcMar>
            <w:vAlign w:val="center"/>
          </w:tcPr>
          <w:p w14:paraId="5BBBB7E1">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（21）有正式发文的实验室安全管理制度，内容包括上位法依据、实验室范围、安全管理原则、组织架构、责任体系、奖惩、事故处理、安全文化等要素</w:t>
            </w:r>
          </w:p>
        </w:tc>
        <w:tc>
          <w:tcPr>
            <w:tcW w:w="2543" w:type="dxa"/>
            <w:tcMar>
              <w:left w:w="45" w:type="dxa"/>
              <w:right w:w="45" w:type="dxa"/>
            </w:tcMar>
            <w:vAlign w:val="center"/>
          </w:tcPr>
          <w:p w14:paraId="458EAC3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F278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83D5DA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2.2</w:t>
            </w:r>
          </w:p>
        </w:tc>
        <w:tc>
          <w:tcPr>
            <w:tcW w:w="14023" w:type="dxa"/>
            <w:gridSpan w:val="3"/>
            <w:tcMar>
              <w:left w:w="45" w:type="dxa"/>
              <w:right w:w="45" w:type="dxa"/>
            </w:tcMar>
            <w:vAlign w:val="center"/>
          </w:tcPr>
          <w:p w14:paraId="5F36095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实验室安全管理办法或细则</w:t>
            </w:r>
          </w:p>
        </w:tc>
      </w:tr>
      <w:tr w14:paraId="4D62F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19180C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2.2.1</w:t>
            </w:r>
          </w:p>
        </w:tc>
        <w:tc>
          <w:tcPr>
            <w:tcW w:w="3703" w:type="dxa"/>
            <w:tcMar>
              <w:left w:w="45" w:type="dxa"/>
              <w:right w:w="45" w:type="dxa"/>
            </w:tcMar>
            <w:vAlign w:val="center"/>
          </w:tcPr>
          <w:p w14:paraId="1584D5B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有正式发文的实验室安全管理办法或细则</w:t>
            </w:r>
          </w:p>
        </w:tc>
        <w:tc>
          <w:tcPr>
            <w:tcW w:w="7777" w:type="dxa"/>
            <w:tcMar>
              <w:left w:w="45" w:type="dxa"/>
              <w:right w:w="45" w:type="dxa"/>
            </w:tcMar>
            <w:vAlign w:val="center"/>
          </w:tcPr>
          <w:p w14:paraId="341FEB6B">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（22）依据危险源情况制定实验室分级分类、准入管理、安全检查，以及各类安全等二级管理办法，文件应具有可操作性或实际管理效用，及时修订更新，并正式发文</w:t>
            </w:r>
          </w:p>
        </w:tc>
        <w:tc>
          <w:tcPr>
            <w:tcW w:w="2543" w:type="dxa"/>
            <w:tcMar>
              <w:left w:w="45" w:type="dxa"/>
              <w:right w:w="45" w:type="dxa"/>
            </w:tcMar>
            <w:vAlign w:val="center"/>
          </w:tcPr>
          <w:p w14:paraId="64CB06A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7E5CE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F4BEE9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2.3</w:t>
            </w:r>
          </w:p>
        </w:tc>
        <w:tc>
          <w:tcPr>
            <w:tcW w:w="14023" w:type="dxa"/>
            <w:gridSpan w:val="3"/>
            <w:tcMar>
              <w:left w:w="45" w:type="dxa"/>
              <w:right w:w="45" w:type="dxa"/>
            </w:tcMar>
            <w:vAlign w:val="center"/>
          </w:tcPr>
          <w:p w14:paraId="23EC09F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安全应急制度</w:t>
            </w:r>
          </w:p>
        </w:tc>
      </w:tr>
      <w:tr w14:paraId="4DC21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1FF222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2.3.1</w:t>
            </w:r>
          </w:p>
        </w:tc>
        <w:tc>
          <w:tcPr>
            <w:tcW w:w="3703" w:type="dxa"/>
            <w:tcMar>
              <w:left w:w="45" w:type="dxa"/>
              <w:right w:w="45" w:type="dxa"/>
            </w:tcMar>
            <w:vAlign w:val="center"/>
          </w:tcPr>
          <w:p w14:paraId="23538A6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学校、院系、实验室有相应的应急预案</w:t>
            </w:r>
          </w:p>
        </w:tc>
        <w:tc>
          <w:tcPr>
            <w:tcW w:w="7777" w:type="dxa"/>
            <w:tcMar>
              <w:left w:w="45" w:type="dxa"/>
              <w:right w:w="45" w:type="dxa"/>
            </w:tcMar>
            <w:vAlign w:val="center"/>
          </w:tcPr>
          <w:p w14:paraId="7C27086A">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23）学校、二级单位和实验室应建立应急预案和应急演练制度，定期开展应急知识学习、应急处置培训和应急演练，保障应急人员、物资、装备和经费，保证应急功能完备、人员到位、装备齐全、响应及时，保证实验防护用品与装备、应急物资的有效性</w:t>
            </w:r>
          </w:p>
        </w:tc>
        <w:tc>
          <w:tcPr>
            <w:tcW w:w="2543" w:type="dxa"/>
            <w:tcMar>
              <w:left w:w="45" w:type="dxa"/>
              <w:right w:w="45" w:type="dxa"/>
            </w:tcMar>
            <w:vAlign w:val="center"/>
          </w:tcPr>
          <w:p w14:paraId="79303E9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rPr>
            </w:pPr>
          </w:p>
        </w:tc>
      </w:tr>
      <w:tr w14:paraId="79DDC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4DA18D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3</w:t>
            </w:r>
          </w:p>
        </w:tc>
        <w:tc>
          <w:tcPr>
            <w:tcW w:w="14023" w:type="dxa"/>
            <w:gridSpan w:val="3"/>
            <w:tcMar>
              <w:left w:w="45" w:type="dxa"/>
              <w:right w:w="45" w:type="dxa"/>
            </w:tcMar>
            <w:vAlign w:val="center"/>
          </w:tcPr>
          <w:p w14:paraId="79B98BE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教育培训</w:t>
            </w:r>
          </w:p>
        </w:tc>
      </w:tr>
      <w:tr w14:paraId="7B737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8C939A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3.1</w:t>
            </w:r>
          </w:p>
        </w:tc>
        <w:tc>
          <w:tcPr>
            <w:tcW w:w="14023" w:type="dxa"/>
            <w:gridSpan w:val="3"/>
            <w:tcMar>
              <w:left w:w="45" w:type="dxa"/>
              <w:right w:w="45" w:type="dxa"/>
            </w:tcMar>
            <w:vAlign w:val="center"/>
          </w:tcPr>
          <w:p w14:paraId="0254BE4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安全教育培训活动</w:t>
            </w:r>
          </w:p>
        </w:tc>
      </w:tr>
      <w:tr w14:paraId="4627A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B2481E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3.1.1</w:t>
            </w:r>
          </w:p>
        </w:tc>
        <w:tc>
          <w:tcPr>
            <w:tcW w:w="3703" w:type="dxa"/>
            <w:tcMar>
              <w:left w:w="45" w:type="dxa"/>
              <w:right w:w="45" w:type="dxa"/>
            </w:tcMar>
            <w:vAlign w:val="center"/>
          </w:tcPr>
          <w:p w14:paraId="74DED35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开设实验室安全必修课或选修课</w:t>
            </w:r>
          </w:p>
        </w:tc>
        <w:tc>
          <w:tcPr>
            <w:tcW w:w="7777" w:type="dxa"/>
            <w:tcMar>
              <w:left w:w="45" w:type="dxa"/>
              <w:right w:w="45" w:type="dxa"/>
            </w:tcMar>
            <w:vAlign w:val="center"/>
          </w:tcPr>
          <w:p w14:paraId="46F3E6E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（24）对于有</w:t>
            </w:r>
            <w:r>
              <w:rPr>
                <w:rFonts w:hint="default" w:ascii="Times New Roman" w:hAnsi="Times New Roman" w:eastAsia="仿宋_GB2312" w:cs="Times New Roman"/>
                <w:color w:val="auto"/>
                <w:kern w:val="0"/>
                <w:szCs w:val="21"/>
              </w:rPr>
              <w:t>重要危险源</w:t>
            </w:r>
            <w:r>
              <w:rPr>
                <w:rFonts w:hint="default" w:ascii="Times New Roman" w:hAnsi="Times New Roman" w:eastAsia="仿宋_GB2312" w:cs="Times New Roman"/>
                <w:bCs/>
                <w:color w:val="auto"/>
                <w:kern w:val="0"/>
                <w:szCs w:val="21"/>
              </w:rPr>
              <w:t>（见第15目）的院系和专业，要开设有学分的安全教育必修课或将安全教育课程纳入必修环节；鼓励其他专业开设安全选修课</w:t>
            </w:r>
          </w:p>
        </w:tc>
        <w:tc>
          <w:tcPr>
            <w:tcW w:w="2543" w:type="dxa"/>
            <w:tcMar>
              <w:left w:w="45" w:type="dxa"/>
              <w:right w:w="45" w:type="dxa"/>
            </w:tcMar>
            <w:vAlign w:val="center"/>
          </w:tcPr>
          <w:p w14:paraId="145A5AEA">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p>
        </w:tc>
      </w:tr>
      <w:tr w14:paraId="40C1A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64D25E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3.1.2</w:t>
            </w:r>
          </w:p>
        </w:tc>
        <w:tc>
          <w:tcPr>
            <w:tcW w:w="3703" w:type="dxa"/>
            <w:tcMar>
              <w:left w:w="45" w:type="dxa"/>
              <w:right w:w="45" w:type="dxa"/>
            </w:tcMar>
            <w:vAlign w:val="center"/>
          </w:tcPr>
          <w:p w14:paraId="76E5239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开展安全教育培训活动</w:t>
            </w:r>
          </w:p>
        </w:tc>
        <w:tc>
          <w:tcPr>
            <w:tcW w:w="7777" w:type="dxa"/>
            <w:tcMar>
              <w:left w:w="45" w:type="dxa"/>
              <w:right w:w="45" w:type="dxa"/>
            </w:tcMar>
            <w:vAlign w:val="center"/>
          </w:tcPr>
          <w:p w14:paraId="1B4AB4A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（25）校级层面有档案证明开展了实验室安全教育培训。</w:t>
            </w:r>
          </w:p>
          <w:p w14:paraId="036DEF8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（26）院系层面有档案证明开展了实验室安全教育培训，</w:t>
            </w:r>
            <w:r>
              <w:rPr>
                <w:rFonts w:hint="default" w:ascii="Times New Roman" w:hAnsi="Times New Roman" w:eastAsia="仿宋_GB2312" w:cs="Times New Roman"/>
                <w:color w:val="auto"/>
                <w:kern w:val="0"/>
                <w:szCs w:val="21"/>
              </w:rPr>
              <w:t>重点关注外来人员和研究生新生</w:t>
            </w:r>
          </w:p>
        </w:tc>
        <w:tc>
          <w:tcPr>
            <w:tcW w:w="2543" w:type="dxa"/>
            <w:tcMar>
              <w:left w:w="45" w:type="dxa"/>
              <w:right w:w="45" w:type="dxa"/>
            </w:tcMar>
            <w:vAlign w:val="center"/>
          </w:tcPr>
          <w:p w14:paraId="4F950AF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EFCF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8D89AC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3.1.3</w:t>
            </w:r>
          </w:p>
        </w:tc>
        <w:tc>
          <w:tcPr>
            <w:tcW w:w="3703" w:type="dxa"/>
            <w:tcMar>
              <w:left w:w="45" w:type="dxa"/>
              <w:right w:w="45" w:type="dxa"/>
            </w:tcMar>
            <w:vAlign w:val="center"/>
          </w:tcPr>
          <w:p w14:paraId="65FDCB3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开展结合学科特点的应急演练</w:t>
            </w:r>
          </w:p>
        </w:tc>
        <w:tc>
          <w:tcPr>
            <w:tcW w:w="7777" w:type="dxa"/>
            <w:tcMar>
              <w:left w:w="45" w:type="dxa"/>
              <w:right w:w="45" w:type="dxa"/>
            </w:tcMar>
            <w:vAlign w:val="center"/>
          </w:tcPr>
          <w:p w14:paraId="0710CF2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bCs/>
                <w:color w:val="auto"/>
                <w:kern w:val="0"/>
                <w:szCs w:val="21"/>
              </w:rPr>
              <w:t>（27）有实验室安全事故应急演练</w:t>
            </w:r>
          </w:p>
        </w:tc>
        <w:tc>
          <w:tcPr>
            <w:tcW w:w="2543" w:type="dxa"/>
            <w:tcMar>
              <w:left w:w="45" w:type="dxa"/>
              <w:right w:w="45" w:type="dxa"/>
            </w:tcMar>
            <w:vAlign w:val="center"/>
          </w:tcPr>
          <w:p w14:paraId="1550B25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FA4C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8AD735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3.1.4</w:t>
            </w:r>
          </w:p>
        </w:tc>
        <w:tc>
          <w:tcPr>
            <w:tcW w:w="3703" w:type="dxa"/>
            <w:tcMar>
              <w:left w:w="45" w:type="dxa"/>
              <w:right w:w="45" w:type="dxa"/>
            </w:tcMar>
            <w:vAlign w:val="center"/>
          </w:tcPr>
          <w:p w14:paraId="5CA2F69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组织实验室安全知识考试</w:t>
            </w:r>
          </w:p>
        </w:tc>
        <w:tc>
          <w:tcPr>
            <w:tcW w:w="7777" w:type="dxa"/>
            <w:tcMar>
              <w:left w:w="45" w:type="dxa"/>
              <w:right w:w="45" w:type="dxa"/>
            </w:tcMar>
            <w:vAlign w:val="center"/>
          </w:tcPr>
          <w:p w14:paraId="080EABC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（28）建设有考试系统或考试题库并及时更新，从事实验工作的学生、教职工及外来人员均须参加考试，通过者发放合格证书或保留记录</w:t>
            </w:r>
          </w:p>
        </w:tc>
        <w:tc>
          <w:tcPr>
            <w:tcW w:w="2543" w:type="dxa"/>
            <w:tcMar>
              <w:left w:w="45" w:type="dxa"/>
              <w:right w:w="45" w:type="dxa"/>
            </w:tcMar>
            <w:vAlign w:val="center"/>
          </w:tcPr>
          <w:p w14:paraId="45CF8AAA">
            <w:pPr>
              <w:pageBreakBefore w:val="0"/>
              <w:kinsoku/>
              <w:wordWrap/>
              <w:overflowPunct/>
              <w:topLinePunct w:val="0"/>
              <w:bidi w:val="0"/>
              <w:snapToGrid/>
              <w:spacing w:after="0"/>
              <w:textAlignment w:val="auto"/>
              <w:rPr>
                <w:rFonts w:hint="default" w:ascii="Times New Roman" w:hAnsi="Times New Roman" w:eastAsia="仿宋_GB2312" w:cs="Times New Roman"/>
                <w:b/>
                <w:bCs/>
                <w:color w:val="auto"/>
                <w:kern w:val="0"/>
                <w:szCs w:val="21"/>
              </w:rPr>
            </w:pPr>
          </w:p>
        </w:tc>
      </w:tr>
      <w:tr w14:paraId="22299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29662B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3.2</w:t>
            </w:r>
          </w:p>
        </w:tc>
        <w:tc>
          <w:tcPr>
            <w:tcW w:w="14023" w:type="dxa"/>
            <w:gridSpan w:val="3"/>
            <w:tcMar>
              <w:left w:w="45" w:type="dxa"/>
              <w:right w:w="45" w:type="dxa"/>
            </w:tcMar>
            <w:vAlign w:val="center"/>
          </w:tcPr>
          <w:p w14:paraId="60F7272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安全文化</w:t>
            </w:r>
          </w:p>
        </w:tc>
      </w:tr>
      <w:tr w14:paraId="115F9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34FDA8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3.2.1</w:t>
            </w:r>
          </w:p>
        </w:tc>
        <w:tc>
          <w:tcPr>
            <w:tcW w:w="3703" w:type="dxa"/>
            <w:tcMar>
              <w:left w:w="45" w:type="dxa"/>
              <w:right w:w="45" w:type="dxa"/>
            </w:tcMar>
            <w:vAlign w:val="center"/>
          </w:tcPr>
          <w:p w14:paraId="4F374A1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建设有学校特色的安全文化</w:t>
            </w:r>
          </w:p>
        </w:tc>
        <w:tc>
          <w:tcPr>
            <w:tcW w:w="7777" w:type="dxa"/>
            <w:tcMar>
              <w:left w:w="45" w:type="dxa"/>
              <w:right w:w="45" w:type="dxa"/>
            </w:tcMar>
            <w:vAlign w:val="center"/>
          </w:tcPr>
          <w:p w14:paraId="786BF53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（29）学校有网页设立专栏开展安全宣传。</w:t>
            </w:r>
          </w:p>
          <w:p w14:paraId="3253433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（30）编印学校实验室安全手册，将实验室安全手册发放到每一位从事实验活动的师生。</w:t>
            </w:r>
          </w:p>
          <w:p w14:paraId="3DFF193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（31）创新宣传教育形式，通过微信公众号、微博、工作简报、文化月、专项整治活动、安全评估、知识竞赛、微电影等方式，加强安全宣传</w:t>
            </w:r>
          </w:p>
        </w:tc>
        <w:tc>
          <w:tcPr>
            <w:tcW w:w="2543" w:type="dxa"/>
            <w:tcMar>
              <w:left w:w="45" w:type="dxa"/>
              <w:right w:w="45" w:type="dxa"/>
            </w:tcMar>
            <w:vAlign w:val="center"/>
          </w:tcPr>
          <w:p w14:paraId="2D64BB2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01C73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12C824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3.2.2</w:t>
            </w:r>
          </w:p>
        </w:tc>
        <w:tc>
          <w:tcPr>
            <w:tcW w:w="3703" w:type="dxa"/>
            <w:tcMar>
              <w:left w:w="45" w:type="dxa"/>
              <w:right w:w="45" w:type="dxa"/>
            </w:tcMar>
            <w:vAlign w:val="center"/>
          </w:tcPr>
          <w:p w14:paraId="165620C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建立实验室安全隐患举报制度</w:t>
            </w:r>
          </w:p>
        </w:tc>
        <w:tc>
          <w:tcPr>
            <w:tcW w:w="7777" w:type="dxa"/>
            <w:tcMar>
              <w:left w:w="45" w:type="dxa"/>
              <w:right w:w="45" w:type="dxa"/>
            </w:tcMar>
            <w:vAlign w:val="center"/>
          </w:tcPr>
          <w:p w14:paraId="4880931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（32）建立实验室安全隐患举报制度，公布实验室安全隐患举报邮箱、电话、信箱等</w:t>
            </w:r>
          </w:p>
        </w:tc>
        <w:tc>
          <w:tcPr>
            <w:tcW w:w="2543" w:type="dxa"/>
            <w:tcMar>
              <w:left w:w="45" w:type="dxa"/>
              <w:right w:w="45" w:type="dxa"/>
            </w:tcMar>
            <w:vAlign w:val="center"/>
          </w:tcPr>
          <w:p w14:paraId="4F79AA12">
            <w:pPr>
              <w:pageBreakBefore w:val="0"/>
              <w:kinsoku/>
              <w:wordWrap/>
              <w:overflowPunct/>
              <w:topLinePunct w:val="0"/>
              <w:bidi w:val="0"/>
              <w:snapToGrid/>
              <w:spacing w:after="0"/>
              <w:textAlignment w:val="auto"/>
              <w:rPr>
                <w:rFonts w:hint="default" w:ascii="Times New Roman" w:hAnsi="Times New Roman" w:eastAsia="仿宋_GB2312" w:cs="Times New Roman"/>
                <w:b/>
                <w:bCs/>
                <w:color w:val="auto"/>
                <w:kern w:val="0"/>
                <w:szCs w:val="21"/>
              </w:rPr>
            </w:pPr>
          </w:p>
        </w:tc>
      </w:tr>
      <w:tr w14:paraId="74D2E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00E13E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4</w:t>
            </w:r>
          </w:p>
        </w:tc>
        <w:tc>
          <w:tcPr>
            <w:tcW w:w="14023" w:type="dxa"/>
            <w:gridSpan w:val="3"/>
            <w:tcMar>
              <w:left w:w="45" w:type="dxa"/>
              <w:right w:w="45" w:type="dxa"/>
            </w:tcMar>
            <w:vAlign w:val="center"/>
          </w:tcPr>
          <w:p w14:paraId="6CF1EB7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color w:val="auto"/>
                <w:kern w:val="0"/>
                <w:szCs w:val="21"/>
              </w:rPr>
              <w:t>安全准入</w:t>
            </w:r>
          </w:p>
        </w:tc>
      </w:tr>
      <w:tr w14:paraId="7C70A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B01839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4.1</w:t>
            </w:r>
          </w:p>
        </w:tc>
        <w:tc>
          <w:tcPr>
            <w:tcW w:w="11480" w:type="dxa"/>
            <w:gridSpan w:val="2"/>
            <w:tcMar>
              <w:left w:w="45" w:type="dxa"/>
              <w:right w:w="45" w:type="dxa"/>
            </w:tcMar>
            <w:vAlign w:val="center"/>
          </w:tcPr>
          <w:p w14:paraId="658FFB7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项目安全准入</w:t>
            </w:r>
          </w:p>
        </w:tc>
        <w:tc>
          <w:tcPr>
            <w:tcW w:w="2543" w:type="dxa"/>
            <w:tcMar>
              <w:left w:w="45" w:type="dxa"/>
              <w:right w:w="45" w:type="dxa"/>
            </w:tcMar>
            <w:vAlign w:val="center"/>
          </w:tcPr>
          <w:p w14:paraId="799A908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322DB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91FCF6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4.1.1</w:t>
            </w:r>
          </w:p>
        </w:tc>
        <w:tc>
          <w:tcPr>
            <w:tcW w:w="3703" w:type="dxa"/>
            <w:tcMar>
              <w:left w:w="45" w:type="dxa"/>
              <w:right w:w="45" w:type="dxa"/>
            </w:tcMar>
            <w:vAlign w:val="center"/>
          </w:tcPr>
          <w:p w14:paraId="3EBCBAA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对项目进行实验室安全风险评估，保证实验室满足开展项目活动的安全条件</w:t>
            </w:r>
          </w:p>
        </w:tc>
        <w:tc>
          <w:tcPr>
            <w:tcW w:w="7777" w:type="dxa"/>
            <w:tcMar>
              <w:left w:w="45" w:type="dxa"/>
              <w:right w:w="45" w:type="dxa"/>
            </w:tcMar>
            <w:vAlign w:val="center"/>
          </w:tcPr>
          <w:p w14:paraId="527EF11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（33）项目负责人负责对实验项目进行危险源辨识、风险评估和控制，制定现场处置方案，指导有关人员做好安全防护</w:t>
            </w:r>
          </w:p>
        </w:tc>
        <w:tc>
          <w:tcPr>
            <w:tcW w:w="2543" w:type="dxa"/>
            <w:tcMar>
              <w:left w:w="45" w:type="dxa"/>
              <w:right w:w="45" w:type="dxa"/>
            </w:tcMar>
            <w:vAlign w:val="center"/>
          </w:tcPr>
          <w:p w14:paraId="0F2130B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3E2DB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57460E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4.2</w:t>
            </w:r>
          </w:p>
        </w:tc>
        <w:tc>
          <w:tcPr>
            <w:tcW w:w="11480" w:type="dxa"/>
            <w:gridSpan w:val="2"/>
            <w:tcMar>
              <w:left w:w="45" w:type="dxa"/>
              <w:right w:w="45" w:type="dxa"/>
            </w:tcMar>
            <w:vAlign w:val="center"/>
          </w:tcPr>
          <w:p w14:paraId="68ED4E3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人员安全准入</w:t>
            </w:r>
          </w:p>
        </w:tc>
        <w:tc>
          <w:tcPr>
            <w:tcW w:w="2543" w:type="dxa"/>
            <w:tcMar>
              <w:left w:w="45" w:type="dxa"/>
              <w:right w:w="45" w:type="dxa"/>
            </w:tcMar>
            <w:vAlign w:val="center"/>
          </w:tcPr>
          <w:p w14:paraId="0F98A56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6B2CE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EAD50D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4.2.1</w:t>
            </w:r>
          </w:p>
        </w:tc>
        <w:tc>
          <w:tcPr>
            <w:tcW w:w="3703" w:type="dxa"/>
            <w:tcMar>
              <w:left w:w="45" w:type="dxa"/>
              <w:right w:w="45" w:type="dxa"/>
            </w:tcMar>
            <w:vAlign w:val="center"/>
          </w:tcPr>
          <w:p w14:paraId="1D371B1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实验人员须经过安全培训和考核，获得实验室安全准入资格</w:t>
            </w:r>
          </w:p>
        </w:tc>
        <w:tc>
          <w:tcPr>
            <w:tcW w:w="7777" w:type="dxa"/>
            <w:tcMar>
              <w:left w:w="45" w:type="dxa"/>
              <w:right w:w="45" w:type="dxa"/>
            </w:tcMar>
            <w:vAlign w:val="center"/>
          </w:tcPr>
          <w:p w14:paraId="6A2A181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（34）实验人员应获得实验室准入资格，并严格遵守各项管理制度</w:t>
            </w:r>
          </w:p>
        </w:tc>
        <w:tc>
          <w:tcPr>
            <w:tcW w:w="2543" w:type="dxa"/>
            <w:tcMar>
              <w:left w:w="45" w:type="dxa"/>
              <w:right w:w="45" w:type="dxa"/>
            </w:tcMar>
            <w:vAlign w:val="center"/>
          </w:tcPr>
          <w:p w14:paraId="068BEFC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40EA6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48F28D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4.3</w:t>
            </w:r>
          </w:p>
        </w:tc>
        <w:tc>
          <w:tcPr>
            <w:tcW w:w="11480" w:type="dxa"/>
            <w:gridSpan w:val="2"/>
            <w:tcMar>
              <w:left w:w="45" w:type="dxa"/>
              <w:right w:w="45" w:type="dxa"/>
            </w:tcMar>
            <w:vAlign w:val="center"/>
          </w:tcPr>
          <w:p w14:paraId="375C4B4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安全风险分析</w:t>
            </w:r>
          </w:p>
        </w:tc>
        <w:tc>
          <w:tcPr>
            <w:tcW w:w="2543" w:type="dxa"/>
            <w:tcMar>
              <w:left w:w="45" w:type="dxa"/>
              <w:right w:w="45" w:type="dxa"/>
            </w:tcMar>
            <w:vAlign w:val="center"/>
          </w:tcPr>
          <w:p w14:paraId="0F99E09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7A957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F70FF1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4.3.1</w:t>
            </w:r>
          </w:p>
        </w:tc>
        <w:tc>
          <w:tcPr>
            <w:tcW w:w="3703" w:type="dxa"/>
            <w:tcMar>
              <w:left w:w="45" w:type="dxa"/>
              <w:right w:w="45" w:type="dxa"/>
            </w:tcMar>
            <w:vAlign w:val="center"/>
          </w:tcPr>
          <w:p w14:paraId="558BDB9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对研究选题进行安全风险分析，做好防控和应急准备</w:t>
            </w:r>
          </w:p>
        </w:tc>
        <w:tc>
          <w:tcPr>
            <w:tcW w:w="7777" w:type="dxa"/>
            <w:tcMar>
              <w:left w:w="45" w:type="dxa"/>
              <w:right w:w="45" w:type="dxa"/>
            </w:tcMar>
            <w:vAlign w:val="center"/>
          </w:tcPr>
          <w:p w14:paraId="7F33CE9D">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（35）开展实验前应进行安全风险分析，尤其是</w:t>
            </w:r>
            <w:r>
              <w:rPr>
                <w:rFonts w:hint="default" w:ascii="Times New Roman" w:hAnsi="Times New Roman" w:eastAsia="仿宋_GB2312" w:cs="Times New Roman"/>
                <w:b/>
                <w:bCs/>
                <w:color w:val="auto"/>
                <w:kern w:val="0"/>
                <w:szCs w:val="21"/>
              </w:rPr>
              <w:t>改变关键参数必须重新进行分析，通过审核后方可进行实验</w:t>
            </w:r>
          </w:p>
        </w:tc>
        <w:tc>
          <w:tcPr>
            <w:tcW w:w="2543" w:type="dxa"/>
            <w:tcMar>
              <w:left w:w="45" w:type="dxa"/>
              <w:right w:w="45" w:type="dxa"/>
            </w:tcMar>
            <w:vAlign w:val="center"/>
          </w:tcPr>
          <w:p w14:paraId="05B3E55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63F5A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6F424E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5</w:t>
            </w:r>
          </w:p>
        </w:tc>
        <w:tc>
          <w:tcPr>
            <w:tcW w:w="14023" w:type="dxa"/>
            <w:gridSpan w:val="3"/>
            <w:tcMar>
              <w:left w:w="45" w:type="dxa"/>
              <w:right w:w="45" w:type="dxa"/>
            </w:tcMar>
            <w:vAlign w:val="center"/>
          </w:tcPr>
          <w:p w14:paraId="4BE370B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安全检查</w:t>
            </w:r>
          </w:p>
        </w:tc>
      </w:tr>
      <w:tr w14:paraId="609BE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714559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5.1</w:t>
            </w:r>
          </w:p>
        </w:tc>
        <w:tc>
          <w:tcPr>
            <w:tcW w:w="14023" w:type="dxa"/>
            <w:gridSpan w:val="3"/>
            <w:tcMar>
              <w:left w:w="45" w:type="dxa"/>
              <w:right w:w="45" w:type="dxa"/>
            </w:tcMar>
            <w:vAlign w:val="center"/>
          </w:tcPr>
          <w:p w14:paraId="1674A51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危险源辨识</w:t>
            </w:r>
          </w:p>
        </w:tc>
      </w:tr>
      <w:tr w14:paraId="385E9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84AAA2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5.1.1</w:t>
            </w:r>
          </w:p>
        </w:tc>
        <w:tc>
          <w:tcPr>
            <w:tcW w:w="3703" w:type="dxa"/>
            <w:tcMar>
              <w:left w:w="45" w:type="dxa"/>
              <w:right w:w="45" w:type="dxa"/>
            </w:tcMar>
            <w:vAlign w:val="center"/>
          </w:tcPr>
          <w:p w14:paraId="3A463CF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学校、院系、实验室层面建立危险源分布清单</w:t>
            </w:r>
          </w:p>
        </w:tc>
        <w:tc>
          <w:tcPr>
            <w:tcW w:w="7777" w:type="dxa"/>
            <w:tcMar>
              <w:left w:w="45" w:type="dxa"/>
              <w:right w:w="45" w:type="dxa"/>
            </w:tcMar>
            <w:vAlign w:val="center"/>
          </w:tcPr>
          <w:p w14:paraId="483D47B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（36）清单内容须包括单位、房间、类别、数量、分级分类、责任人等信息</w:t>
            </w:r>
          </w:p>
        </w:tc>
        <w:tc>
          <w:tcPr>
            <w:tcW w:w="2543" w:type="dxa"/>
            <w:tcMar>
              <w:left w:w="45" w:type="dxa"/>
              <w:right w:w="45" w:type="dxa"/>
            </w:tcMar>
            <w:vAlign w:val="center"/>
          </w:tcPr>
          <w:p w14:paraId="448B490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259F7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F03984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5.1.2</w:t>
            </w:r>
          </w:p>
        </w:tc>
        <w:tc>
          <w:tcPr>
            <w:tcW w:w="3703" w:type="dxa"/>
            <w:tcMar>
              <w:left w:w="45" w:type="dxa"/>
              <w:right w:w="45" w:type="dxa"/>
            </w:tcMar>
            <w:vAlign w:val="center"/>
          </w:tcPr>
          <w:p w14:paraId="6B69EBC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涉及危险源的实验场所，须有明确的警示标识</w:t>
            </w:r>
          </w:p>
        </w:tc>
        <w:tc>
          <w:tcPr>
            <w:tcW w:w="7777" w:type="dxa"/>
            <w:tcMar>
              <w:left w:w="45" w:type="dxa"/>
              <w:right w:w="45" w:type="dxa"/>
            </w:tcMar>
            <w:vAlign w:val="center"/>
          </w:tcPr>
          <w:p w14:paraId="6B661D4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（37）涉及重要危险源（见第15目）的场所，有显著的警示标识</w:t>
            </w:r>
          </w:p>
        </w:tc>
        <w:tc>
          <w:tcPr>
            <w:tcW w:w="2543" w:type="dxa"/>
            <w:tcMar>
              <w:left w:w="45" w:type="dxa"/>
              <w:right w:w="45" w:type="dxa"/>
            </w:tcMar>
            <w:vAlign w:val="center"/>
          </w:tcPr>
          <w:p w14:paraId="1113A79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53B9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98843D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5.1.3</w:t>
            </w:r>
          </w:p>
        </w:tc>
        <w:tc>
          <w:tcPr>
            <w:tcW w:w="3703" w:type="dxa"/>
            <w:tcMar>
              <w:left w:w="45" w:type="dxa"/>
              <w:right w:w="45" w:type="dxa"/>
            </w:tcMar>
            <w:vAlign w:val="center"/>
          </w:tcPr>
          <w:p w14:paraId="387B931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建立针对重要危险源的风险管理和应急预案</w:t>
            </w:r>
          </w:p>
        </w:tc>
        <w:tc>
          <w:tcPr>
            <w:tcW w:w="7777" w:type="dxa"/>
            <w:tcMar>
              <w:left w:w="45" w:type="dxa"/>
              <w:right w:w="45" w:type="dxa"/>
            </w:tcMar>
            <w:vAlign w:val="center"/>
          </w:tcPr>
          <w:p w14:paraId="5170CAC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38）建立风险分级分类管控方案。实验室要根据存在的危险源及其存量进行风险评价，判定本实验室安全等级，并依据实验室中存在的主要危险源类别判定实验室安全类别；院系要审核确认所属实验室类别和风险等级，建立本单位实验室安全分级分类管理台账，提交学校实验室安全主管职能部门备案；学校要建立本校实验室安全分级分类管理台账，及时录入信息化管理系统或电子造册。分级分类管理台账要依据研究内容、危险源类型与数量等变化，或实验室建设项目调整而适时更新。高风险等级实验室，要按要求适时向相应的教育、公安（治安）、生态环境、卫生健康、农业农村、市场监督（质检）、应急管理等主管部门报备并接受监督。</w:t>
            </w:r>
          </w:p>
          <w:p w14:paraId="32B534C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（39）院系和实验室应建立针对重要危险源的应急预案</w:t>
            </w:r>
          </w:p>
        </w:tc>
        <w:tc>
          <w:tcPr>
            <w:tcW w:w="2543" w:type="dxa"/>
            <w:tcMar>
              <w:left w:w="45" w:type="dxa"/>
              <w:right w:w="45" w:type="dxa"/>
            </w:tcMar>
            <w:vAlign w:val="center"/>
          </w:tcPr>
          <w:p w14:paraId="2AFF7A6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E419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0F3E95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5.2</w:t>
            </w:r>
          </w:p>
        </w:tc>
        <w:tc>
          <w:tcPr>
            <w:tcW w:w="14023" w:type="dxa"/>
            <w:gridSpan w:val="3"/>
            <w:tcMar>
              <w:left w:w="45" w:type="dxa"/>
              <w:right w:w="45" w:type="dxa"/>
            </w:tcMar>
            <w:vAlign w:val="center"/>
          </w:tcPr>
          <w:p w14:paraId="7C84126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安全检查</w:t>
            </w:r>
          </w:p>
        </w:tc>
      </w:tr>
      <w:tr w14:paraId="720D6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27C8CF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5.2.1</w:t>
            </w:r>
          </w:p>
        </w:tc>
        <w:tc>
          <w:tcPr>
            <w:tcW w:w="3703" w:type="dxa"/>
            <w:tcMar>
              <w:left w:w="45" w:type="dxa"/>
              <w:right w:w="45" w:type="dxa"/>
            </w:tcMar>
            <w:vAlign w:val="center"/>
          </w:tcPr>
          <w:p w14:paraId="3150342F">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bCs/>
                <w:color w:val="auto"/>
                <w:kern w:val="0"/>
                <w:szCs w:val="21"/>
              </w:rPr>
              <w:t>学校、院系层面安全检查及实验室自检自查</w:t>
            </w:r>
          </w:p>
        </w:tc>
        <w:tc>
          <w:tcPr>
            <w:tcW w:w="7777" w:type="dxa"/>
            <w:tcMar>
              <w:left w:w="45" w:type="dxa"/>
              <w:right w:w="45" w:type="dxa"/>
            </w:tcMar>
            <w:vAlign w:val="center"/>
          </w:tcPr>
          <w:p w14:paraId="15EF5AD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（40）学校、院系、实验室三个层面按照不少于实验室安全分级分类管理要求的检查频次开展安全检查。安全检查及整改都应保存记录</w:t>
            </w:r>
          </w:p>
        </w:tc>
        <w:tc>
          <w:tcPr>
            <w:tcW w:w="2543" w:type="dxa"/>
            <w:tcMar>
              <w:left w:w="45" w:type="dxa"/>
              <w:right w:w="45" w:type="dxa"/>
            </w:tcMar>
            <w:vAlign w:val="center"/>
          </w:tcPr>
          <w:p w14:paraId="66C92F8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6FE59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95EF92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5.2.2</w:t>
            </w:r>
          </w:p>
        </w:tc>
        <w:tc>
          <w:tcPr>
            <w:tcW w:w="3703" w:type="dxa"/>
            <w:tcMar>
              <w:left w:w="45" w:type="dxa"/>
              <w:right w:w="45" w:type="dxa"/>
            </w:tcMar>
            <w:vAlign w:val="center"/>
          </w:tcPr>
          <w:p w14:paraId="1A9DA7B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针对高危实验物品及实验过程开展专项检查</w:t>
            </w:r>
          </w:p>
        </w:tc>
        <w:tc>
          <w:tcPr>
            <w:tcW w:w="7777" w:type="dxa"/>
            <w:tcMar>
              <w:left w:w="45" w:type="dxa"/>
              <w:right w:w="45" w:type="dxa"/>
            </w:tcMar>
            <w:vAlign w:val="center"/>
          </w:tcPr>
          <w:p w14:paraId="10EB64A0">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（41）针对</w:t>
            </w:r>
            <w:r>
              <w:rPr>
                <w:rFonts w:hint="default" w:ascii="Times New Roman" w:hAnsi="Times New Roman" w:eastAsia="仿宋_GB2312" w:cs="Times New Roman"/>
                <w:bCs/>
                <w:color w:val="auto"/>
                <w:kern w:val="0"/>
                <w:szCs w:val="21"/>
              </w:rPr>
              <w:t>重要危险源（见第15目）</w:t>
            </w:r>
            <w:r>
              <w:rPr>
                <w:rFonts w:hint="default" w:ascii="Times New Roman" w:hAnsi="Times New Roman" w:eastAsia="仿宋_GB2312" w:cs="Times New Roman"/>
                <w:color w:val="auto"/>
                <w:kern w:val="0"/>
                <w:szCs w:val="21"/>
              </w:rPr>
              <w:t>，开展定期专项检查</w:t>
            </w:r>
          </w:p>
        </w:tc>
        <w:tc>
          <w:tcPr>
            <w:tcW w:w="2543" w:type="dxa"/>
            <w:tcMar>
              <w:left w:w="45" w:type="dxa"/>
              <w:right w:w="45" w:type="dxa"/>
            </w:tcMar>
            <w:vAlign w:val="center"/>
          </w:tcPr>
          <w:p w14:paraId="32A100D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0043F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01FA56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5.2.3</w:t>
            </w:r>
          </w:p>
        </w:tc>
        <w:tc>
          <w:tcPr>
            <w:tcW w:w="3703" w:type="dxa"/>
            <w:tcMar>
              <w:left w:w="45" w:type="dxa"/>
              <w:right w:w="45" w:type="dxa"/>
            </w:tcMar>
            <w:vAlign w:val="center"/>
          </w:tcPr>
          <w:p w14:paraId="3E4CE7D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安全检查人员应配备专业的防护和计量用具</w:t>
            </w:r>
          </w:p>
        </w:tc>
        <w:tc>
          <w:tcPr>
            <w:tcW w:w="7777" w:type="dxa"/>
            <w:tcMar>
              <w:left w:w="45" w:type="dxa"/>
              <w:right w:w="45" w:type="dxa"/>
            </w:tcMar>
            <w:vAlign w:val="center"/>
          </w:tcPr>
          <w:p w14:paraId="57B9660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42）安全检查人员要佩戴标识、配备照相器具。进入涉及危化品、生物、辐射等的实验室要穿戴必要的防护装具；检查辐射场所要佩戴个人辐射剂量计；配备必要的测量、计量用具（手持式VOC检测仪、声级计、风速仪、电笔、万用表等）</w:t>
            </w:r>
          </w:p>
        </w:tc>
        <w:tc>
          <w:tcPr>
            <w:tcW w:w="2543" w:type="dxa"/>
            <w:tcMar>
              <w:left w:w="45" w:type="dxa"/>
              <w:right w:w="45" w:type="dxa"/>
            </w:tcMar>
            <w:vAlign w:val="center"/>
          </w:tcPr>
          <w:p w14:paraId="1F3E851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rPr>
            </w:pPr>
          </w:p>
        </w:tc>
      </w:tr>
      <w:tr w14:paraId="343DD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EEE1F8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5.3</w:t>
            </w:r>
          </w:p>
        </w:tc>
        <w:tc>
          <w:tcPr>
            <w:tcW w:w="14023" w:type="dxa"/>
            <w:gridSpan w:val="3"/>
            <w:tcMar>
              <w:left w:w="45" w:type="dxa"/>
              <w:right w:w="45" w:type="dxa"/>
            </w:tcMar>
            <w:vAlign w:val="center"/>
          </w:tcPr>
          <w:p w14:paraId="2608D8D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安全隐患整改</w:t>
            </w:r>
          </w:p>
        </w:tc>
      </w:tr>
      <w:tr w14:paraId="6BC86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A25C6D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5.3.1</w:t>
            </w:r>
          </w:p>
        </w:tc>
        <w:tc>
          <w:tcPr>
            <w:tcW w:w="3703" w:type="dxa"/>
            <w:tcMar>
              <w:left w:w="45" w:type="dxa"/>
              <w:right w:w="45" w:type="dxa"/>
            </w:tcMar>
            <w:vAlign w:val="center"/>
          </w:tcPr>
          <w:p w14:paraId="4F54E33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检查中发现的问题应以正式形式通知到相关负责人</w:t>
            </w:r>
          </w:p>
        </w:tc>
        <w:tc>
          <w:tcPr>
            <w:tcW w:w="7777" w:type="dxa"/>
            <w:tcMar>
              <w:left w:w="45" w:type="dxa"/>
              <w:right w:w="45" w:type="dxa"/>
            </w:tcMar>
            <w:vAlign w:val="center"/>
          </w:tcPr>
          <w:p w14:paraId="5D1AC26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（43）通知的方式包括校网上公告、实验室安全简报、书面或电子的整改通知书等形式</w:t>
            </w:r>
          </w:p>
        </w:tc>
        <w:tc>
          <w:tcPr>
            <w:tcW w:w="2543" w:type="dxa"/>
            <w:tcMar>
              <w:left w:w="45" w:type="dxa"/>
              <w:right w:w="45" w:type="dxa"/>
            </w:tcMar>
            <w:vAlign w:val="center"/>
          </w:tcPr>
          <w:p w14:paraId="0358F0B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939A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0CCC2B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5.3.2</w:t>
            </w:r>
          </w:p>
        </w:tc>
        <w:tc>
          <w:tcPr>
            <w:tcW w:w="3703" w:type="dxa"/>
            <w:tcMar>
              <w:left w:w="45" w:type="dxa"/>
              <w:right w:w="45" w:type="dxa"/>
            </w:tcMar>
            <w:vAlign w:val="center"/>
          </w:tcPr>
          <w:p w14:paraId="0A18351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院系须及时组织隐患整改</w:t>
            </w:r>
          </w:p>
        </w:tc>
        <w:tc>
          <w:tcPr>
            <w:tcW w:w="7777" w:type="dxa"/>
            <w:tcMar>
              <w:left w:w="45" w:type="dxa"/>
              <w:right w:w="45" w:type="dxa"/>
            </w:tcMar>
            <w:vAlign w:val="center"/>
          </w:tcPr>
          <w:p w14:paraId="7D353B6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（44）整改报告应在规定时间内提交学校管理部门。</w:t>
            </w:r>
          </w:p>
          <w:p w14:paraId="122B8A4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（45）</w:t>
            </w:r>
            <w:r>
              <w:rPr>
                <w:rFonts w:hint="default" w:ascii="Times New Roman" w:hAnsi="Times New Roman" w:eastAsia="仿宋_GB2312" w:cs="Times New Roman"/>
                <w:b/>
                <w:bCs/>
                <w:color w:val="auto"/>
                <w:kern w:val="0"/>
                <w:szCs w:val="21"/>
              </w:rPr>
              <w:t>如存在重大隐患，实验室应立即停止实验活动，整改完成或采取相应防护措施后方能恢复实验</w:t>
            </w:r>
          </w:p>
        </w:tc>
        <w:tc>
          <w:tcPr>
            <w:tcW w:w="2543" w:type="dxa"/>
            <w:tcMar>
              <w:left w:w="45" w:type="dxa"/>
              <w:right w:w="45" w:type="dxa"/>
            </w:tcMar>
            <w:vAlign w:val="center"/>
          </w:tcPr>
          <w:p w14:paraId="1B1FFCD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7126C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37F533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5.4</w:t>
            </w:r>
          </w:p>
        </w:tc>
        <w:tc>
          <w:tcPr>
            <w:tcW w:w="14023" w:type="dxa"/>
            <w:gridSpan w:val="3"/>
            <w:tcMar>
              <w:left w:w="45" w:type="dxa"/>
              <w:right w:w="45" w:type="dxa"/>
            </w:tcMar>
            <w:vAlign w:val="center"/>
          </w:tcPr>
          <w:p w14:paraId="28A829C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安全报告</w:t>
            </w:r>
          </w:p>
        </w:tc>
      </w:tr>
      <w:tr w14:paraId="6247D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8741B8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5.4.1</w:t>
            </w:r>
          </w:p>
        </w:tc>
        <w:tc>
          <w:tcPr>
            <w:tcW w:w="3703" w:type="dxa"/>
            <w:tcMar>
              <w:left w:w="45" w:type="dxa"/>
              <w:right w:w="45" w:type="dxa"/>
            </w:tcMar>
            <w:vAlign w:val="center"/>
          </w:tcPr>
          <w:p w14:paraId="4BAD21A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学校有定期/不定期</w:t>
            </w:r>
            <w:r>
              <w:rPr>
                <w:rFonts w:hint="default" w:ascii="Times New Roman" w:hAnsi="Times New Roman" w:eastAsia="仿宋_GB2312" w:cs="Times New Roman"/>
                <w:bCs/>
                <w:color w:val="auto"/>
                <w:kern w:val="0"/>
                <w:szCs w:val="21"/>
              </w:rPr>
              <w:t>的</w:t>
            </w:r>
            <w:r>
              <w:rPr>
                <w:rFonts w:hint="default" w:ascii="Times New Roman" w:hAnsi="Times New Roman" w:eastAsia="仿宋_GB2312" w:cs="Times New Roman"/>
                <w:color w:val="auto"/>
                <w:kern w:val="0"/>
                <w:szCs w:val="21"/>
              </w:rPr>
              <w:t>安全检查通报；院系有安全检查及整改记录</w:t>
            </w:r>
          </w:p>
        </w:tc>
        <w:tc>
          <w:tcPr>
            <w:tcW w:w="7777" w:type="dxa"/>
            <w:tcMar>
              <w:left w:w="45" w:type="dxa"/>
              <w:right w:w="45" w:type="dxa"/>
            </w:tcMar>
            <w:vAlign w:val="center"/>
          </w:tcPr>
          <w:p w14:paraId="1D60D60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（46）存有相关资料或电子文档</w:t>
            </w:r>
          </w:p>
        </w:tc>
        <w:tc>
          <w:tcPr>
            <w:tcW w:w="2543" w:type="dxa"/>
            <w:tcMar>
              <w:left w:w="45" w:type="dxa"/>
              <w:right w:w="45" w:type="dxa"/>
            </w:tcMar>
            <w:vAlign w:val="center"/>
          </w:tcPr>
          <w:p w14:paraId="065D2FC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FA3C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D25A02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6</w:t>
            </w:r>
          </w:p>
        </w:tc>
        <w:tc>
          <w:tcPr>
            <w:tcW w:w="14023" w:type="dxa"/>
            <w:gridSpan w:val="3"/>
            <w:tcMar>
              <w:left w:w="45" w:type="dxa"/>
              <w:right w:w="45" w:type="dxa"/>
            </w:tcMar>
            <w:vAlign w:val="center"/>
          </w:tcPr>
          <w:p w14:paraId="6755F89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实验场所</w:t>
            </w:r>
          </w:p>
        </w:tc>
      </w:tr>
      <w:tr w14:paraId="5EB74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923C40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6.1</w:t>
            </w:r>
          </w:p>
        </w:tc>
        <w:tc>
          <w:tcPr>
            <w:tcW w:w="14023" w:type="dxa"/>
            <w:gridSpan w:val="3"/>
            <w:tcMar>
              <w:left w:w="45" w:type="dxa"/>
              <w:right w:w="45" w:type="dxa"/>
            </w:tcMar>
            <w:vAlign w:val="center"/>
          </w:tcPr>
          <w:p w14:paraId="0274642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场所环境</w:t>
            </w:r>
          </w:p>
        </w:tc>
      </w:tr>
      <w:tr w14:paraId="66C5B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43046A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6.1.1</w:t>
            </w:r>
          </w:p>
        </w:tc>
        <w:tc>
          <w:tcPr>
            <w:tcW w:w="3703" w:type="dxa"/>
            <w:tcMar>
              <w:left w:w="45" w:type="dxa"/>
              <w:right w:w="45" w:type="dxa"/>
            </w:tcMar>
            <w:vAlign w:val="center"/>
          </w:tcPr>
          <w:p w14:paraId="4AE3E9C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实验场所应张贴安全信息牌</w:t>
            </w:r>
          </w:p>
        </w:tc>
        <w:tc>
          <w:tcPr>
            <w:tcW w:w="7777" w:type="dxa"/>
            <w:tcMar>
              <w:left w:w="45" w:type="dxa"/>
              <w:right w:w="45" w:type="dxa"/>
            </w:tcMar>
            <w:vAlign w:val="center"/>
          </w:tcPr>
          <w:p w14:paraId="2D0C63D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（47）每个房间门口挂有安全信息牌，信息包括：实验室分级分类结果、安全风险点的警示标识、安全责任人、涉及危险类别、防护措施和有效的应急联系电话等，并及时更新</w:t>
            </w:r>
          </w:p>
        </w:tc>
        <w:tc>
          <w:tcPr>
            <w:tcW w:w="2543" w:type="dxa"/>
            <w:tcMar>
              <w:left w:w="45" w:type="dxa"/>
              <w:right w:w="45" w:type="dxa"/>
            </w:tcMar>
            <w:vAlign w:val="center"/>
          </w:tcPr>
          <w:p w14:paraId="20E800E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7CE89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8A4BB3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6.1.2</w:t>
            </w:r>
          </w:p>
        </w:tc>
        <w:tc>
          <w:tcPr>
            <w:tcW w:w="3703" w:type="dxa"/>
            <w:tcMar>
              <w:left w:w="45" w:type="dxa"/>
              <w:right w:w="45" w:type="dxa"/>
            </w:tcMar>
            <w:vAlign w:val="center"/>
          </w:tcPr>
          <w:p w14:paraId="6DE35D1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实验场所应具备合理的安全空间布局</w:t>
            </w:r>
          </w:p>
        </w:tc>
        <w:tc>
          <w:tcPr>
            <w:tcW w:w="7777" w:type="dxa"/>
            <w:tcMar>
              <w:left w:w="45" w:type="dxa"/>
              <w:right w:w="45" w:type="dxa"/>
            </w:tcMar>
            <w:vAlign w:val="center"/>
          </w:tcPr>
          <w:p w14:paraId="01FAF4F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（48）超过200m</w:t>
            </w:r>
            <w:r>
              <w:rPr>
                <w:rFonts w:hint="default" w:ascii="Times New Roman" w:hAnsi="Times New Roman" w:eastAsia="仿宋_GB2312" w:cs="Times New Roman"/>
                <w:color w:val="auto"/>
                <w:szCs w:val="21"/>
                <w:vertAlign w:val="superscript"/>
              </w:rPr>
              <w:t>2</w:t>
            </w:r>
            <w:r>
              <w:rPr>
                <w:rFonts w:hint="default" w:ascii="Times New Roman" w:hAnsi="Times New Roman" w:eastAsia="仿宋_GB2312" w:cs="Times New Roman"/>
                <w:color w:val="auto"/>
                <w:szCs w:val="21"/>
              </w:rPr>
              <w:t>的实验楼层具有至少两处安全出口，75m</w:t>
            </w:r>
            <w:r>
              <w:rPr>
                <w:rFonts w:hint="default" w:ascii="Times New Roman" w:hAnsi="Times New Roman" w:eastAsia="仿宋_GB2312" w:cs="Times New Roman"/>
                <w:color w:val="auto"/>
                <w:szCs w:val="21"/>
                <w:vertAlign w:val="superscript"/>
              </w:rPr>
              <w:t>2</w:t>
            </w:r>
            <w:r>
              <w:rPr>
                <w:rFonts w:hint="default" w:ascii="Times New Roman" w:hAnsi="Times New Roman" w:eastAsia="仿宋_GB2312" w:cs="Times New Roman"/>
                <w:color w:val="auto"/>
                <w:szCs w:val="21"/>
              </w:rPr>
              <w:t>以上实验室要有两个出入口。</w:t>
            </w:r>
          </w:p>
          <w:p w14:paraId="456FBE6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（49）实验楼大走廊保证留有大于1.5m净宽的消防通道。</w:t>
            </w:r>
          </w:p>
          <w:p w14:paraId="134CAA6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（50）实验室操作区层高不低于2m。</w:t>
            </w:r>
          </w:p>
          <w:p w14:paraId="72F0387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vertAlign w:val="superscript"/>
              </w:rPr>
            </w:pPr>
            <w:r>
              <w:rPr>
                <w:rFonts w:hint="default" w:ascii="Times New Roman" w:hAnsi="Times New Roman" w:eastAsia="仿宋_GB2312" w:cs="Times New Roman"/>
                <w:color w:val="auto"/>
                <w:szCs w:val="21"/>
              </w:rPr>
              <w:t>（51）理工农医类实验室内多人同时进行实验时，人均操作面积不小于2.5m</w:t>
            </w:r>
            <w:r>
              <w:rPr>
                <w:rFonts w:hint="default" w:ascii="Times New Roman" w:hAnsi="Times New Roman" w:eastAsia="仿宋_GB2312" w:cs="Times New Roman"/>
                <w:color w:val="auto"/>
                <w:szCs w:val="21"/>
                <w:vertAlign w:val="superscript"/>
              </w:rPr>
              <w:t>2</w:t>
            </w:r>
          </w:p>
        </w:tc>
        <w:tc>
          <w:tcPr>
            <w:tcW w:w="2543" w:type="dxa"/>
            <w:tcMar>
              <w:left w:w="45" w:type="dxa"/>
              <w:right w:w="45" w:type="dxa"/>
            </w:tcMar>
            <w:vAlign w:val="center"/>
          </w:tcPr>
          <w:p w14:paraId="02A023A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AEE4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E58AEE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6.1.3</w:t>
            </w:r>
          </w:p>
        </w:tc>
        <w:tc>
          <w:tcPr>
            <w:tcW w:w="3703" w:type="dxa"/>
            <w:tcMar>
              <w:left w:w="45" w:type="dxa"/>
              <w:right w:w="45" w:type="dxa"/>
            </w:tcMar>
            <w:vAlign w:val="center"/>
          </w:tcPr>
          <w:p w14:paraId="013F321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消防通道通畅</w:t>
            </w:r>
          </w:p>
        </w:tc>
        <w:tc>
          <w:tcPr>
            <w:tcW w:w="7777" w:type="dxa"/>
            <w:tcMar>
              <w:left w:w="45" w:type="dxa"/>
              <w:right w:w="45" w:type="dxa"/>
            </w:tcMar>
            <w:vAlign w:val="center"/>
          </w:tcPr>
          <w:p w14:paraId="2C753A3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szCs w:val="21"/>
              </w:rPr>
              <w:t>（52）保持实验室消防通道通畅</w:t>
            </w:r>
            <w:r>
              <w:rPr>
                <w:rFonts w:hint="default" w:ascii="Times New Roman" w:hAnsi="Times New Roman" w:eastAsia="仿宋_GB2312" w:cs="Times New Roman"/>
                <w:color w:val="auto"/>
                <w:szCs w:val="21"/>
              </w:rPr>
              <w:t>，公共区域不堆放仪器和物品</w:t>
            </w:r>
          </w:p>
        </w:tc>
        <w:tc>
          <w:tcPr>
            <w:tcW w:w="2543" w:type="dxa"/>
            <w:tcMar>
              <w:left w:w="45" w:type="dxa"/>
              <w:right w:w="45" w:type="dxa"/>
            </w:tcMar>
            <w:vAlign w:val="center"/>
          </w:tcPr>
          <w:p w14:paraId="7D87CA2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73A8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4443E0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6.1.4</w:t>
            </w:r>
          </w:p>
        </w:tc>
        <w:tc>
          <w:tcPr>
            <w:tcW w:w="3703" w:type="dxa"/>
            <w:tcMar>
              <w:left w:w="45" w:type="dxa"/>
              <w:right w:w="45" w:type="dxa"/>
            </w:tcMar>
            <w:vAlign w:val="center"/>
          </w:tcPr>
          <w:p w14:paraId="37B2462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实验室建设和装修应符合消防安全要求</w:t>
            </w:r>
          </w:p>
        </w:tc>
        <w:tc>
          <w:tcPr>
            <w:tcW w:w="7777" w:type="dxa"/>
            <w:tcMar>
              <w:left w:w="45" w:type="dxa"/>
              <w:right w:w="45" w:type="dxa"/>
            </w:tcMar>
            <w:vAlign w:val="center"/>
          </w:tcPr>
          <w:p w14:paraId="30F4470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（53）实验操作台应选用合格的防火、耐腐蚀材料。</w:t>
            </w:r>
          </w:p>
          <w:p w14:paraId="4B92EA1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（54）仪器设备安装符合建筑物承重荷载要求。</w:t>
            </w:r>
          </w:p>
          <w:p w14:paraId="034CCA8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（55）有可燃气体的实验室不设吊顶。</w:t>
            </w:r>
          </w:p>
          <w:p w14:paraId="0658227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（56）不用的配电箱、插座、水管水龙头、网线、气体管路等，应及时拆除或封闭。</w:t>
            </w:r>
          </w:p>
          <w:p w14:paraId="413E5D1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（57）实验室门上有观察窗，外开门不阻挡逃生路径</w:t>
            </w:r>
          </w:p>
        </w:tc>
        <w:tc>
          <w:tcPr>
            <w:tcW w:w="2543" w:type="dxa"/>
            <w:tcMar>
              <w:left w:w="45" w:type="dxa"/>
              <w:right w:w="45" w:type="dxa"/>
            </w:tcMar>
            <w:vAlign w:val="center"/>
          </w:tcPr>
          <w:p w14:paraId="446388B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0A2B7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C0FC6D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6.1.5</w:t>
            </w:r>
          </w:p>
        </w:tc>
        <w:tc>
          <w:tcPr>
            <w:tcW w:w="3703" w:type="dxa"/>
            <w:tcMar>
              <w:left w:w="45" w:type="dxa"/>
              <w:right w:w="45" w:type="dxa"/>
            </w:tcMar>
            <w:vAlign w:val="center"/>
          </w:tcPr>
          <w:p w14:paraId="620D8E1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实验室所有房间均须配有应急备用钥匙</w:t>
            </w:r>
          </w:p>
        </w:tc>
        <w:tc>
          <w:tcPr>
            <w:tcW w:w="7777" w:type="dxa"/>
            <w:tcMar>
              <w:left w:w="45" w:type="dxa"/>
              <w:right w:w="45" w:type="dxa"/>
            </w:tcMar>
            <w:vAlign w:val="center"/>
          </w:tcPr>
          <w:p w14:paraId="6DF9224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r>
              <w:rPr>
                <w:rFonts w:hint="default" w:ascii="Times New Roman" w:hAnsi="Times New Roman" w:eastAsia="仿宋_GB2312" w:cs="Times New Roman"/>
                <w:color w:val="auto"/>
                <w:szCs w:val="21"/>
              </w:rPr>
              <w:t>（58）应急备用钥匙须集中存放、统一管理，应急时方便取用</w:t>
            </w:r>
          </w:p>
        </w:tc>
        <w:tc>
          <w:tcPr>
            <w:tcW w:w="2543" w:type="dxa"/>
            <w:tcMar>
              <w:left w:w="45" w:type="dxa"/>
              <w:right w:w="45" w:type="dxa"/>
            </w:tcMar>
            <w:vAlign w:val="center"/>
          </w:tcPr>
          <w:p w14:paraId="4DF0C11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p>
        </w:tc>
      </w:tr>
      <w:tr w14:paraId="2BCA0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B4D21A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6.1.6</w:t>
            </w:r>
          </w:p>
        </w:tc>
        <w:tc>
          <w:tcPr>
            <w:tcW w:w="3703" w:type="dxa"/>
            <w:tcMar>
              <w:left w:w="45" w:type="dxa"/>
              <w:right w:w="45" w:type="dxa"/>
            </w:tcMar>
            <w:vAlign w:val="center"/>
          </w:tcPr>
          <w:p w14:paraId="090F912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实验设备须做好振动减振、电磁屏蔽和降噪</w:t>
            </w:r>
          </w:p>
        </w:tc>
        <w:tc>
          <w:tcPr>
            <w:tcW w:w="7777" w:type="dxa"/>
            <w:tcMar>
              <w:left w:w="45" w:type="dxa"/>
              <w:right w:w="45" w:type="dxa"/>
            </w:tcMar>
            <w:vAlign w:val="center"/>
          </w:tcPr>
          <w:p w14:paraId="7A087A3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（59）容易产生振动的设备，须考虑采取合理的减振措施。</w:t>
            </w:r>
          </w:p>
          <w:p w14:paraId="2D24FF3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（60）易对外产生磁场或易受磁场干扰的设备，须做好磁屏蔽。</w:t>
            </w:r>
          </w:p>
          <w:p w14:paraId="333EE1F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（61）实验室噪声一般不高于55分贝（机械设备不高于70分贝）</w:t>
            </w:r>
          </w:p>
        </w:tc>
        <w:tc>
          <w:tcPr>
            <w:tcW w:w="2543" w:type="dxa"/>
            <w:tcMar>
              <w:left w:w="45" w:type="dxa"/>
              <w:right w:w="45" w:type="dxa"/>
            </w:tcMar>
            <w:vAlign w:val="center"/>
          </w:tcPr>
          <w:p w14:paraId="339ED1A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1097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37A7AA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6.1.7</w:t>
            </w:r>
          </w:p>
        </w:tc>
        <w:tc>
          <w:tcPr>
            <w:tcW w:w="3703" w:type="dxa"/>
            <w:tcMar>
              <w:left w:w="45" w:type="dxa"/>
              <w:right w:w="45" w:type="dxa"/>
            </w:tcMar>
            <w:vAlign w:val="center"/>
          </w:tcPr>
          <w:p w14:paraId="3C75D987">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实验室水、电、气管线布局合理，安装施工规范</w:t>
            </w:r>
          </w:p>
        </w:tc>
        <w:tc>
          <w:tcPr>
            <w:tcW w:w="7777" w:type="dxa"/>
            <w:tcMar>
              <w:left w:w="45" w:type="dxa"/>
              <w:right w:w="45" w:type="dxa"/>
            </w:tcMar>
            <w:vAlign w:val="center"/>
          </w:tcPr>
          <w:p w14:paraId="5A29C95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（62）水、电、气管线布局先规划、后施工，充分考虑安全性、功能性、可维护性和扩展性。</w:t>
            </w:r>
          </w:p>
          <w:p w14:paraId="6D05BB9C">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bCs/>
                <w:color w:val="auto"/>
                <w:szCs w:val="21"/>
              </w:rPr>
              <w:t>（63）</w:t>
            </w:r>
            <w:r>
              <w:rPr>
                <w:rFonts w:hint="default" w:ascii="Times New Roman" w:hAnsi="Times New Roman" w:eastAsia="仿宋_GB2312" w:cs="Times New Roman"/>
                <w:color w:val="auto"/>
                <w:szCs w:val="21"/>
              </w:rPr>
              <w:t>高温、明火设备放置位置与气体管道有安全间隔距离。</w:t>
            </w:r>
          </w:p>
          <w:p w14:paraId="07B05FBB">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r>
              <w:rPr>
                <w:rFonts w:hint="default" w:ascii="Times New Roman" w:hAnsi="Times New Roman" w:eastAsia="仿宋_GB2312" w:cs="Times New Roman"/>
                <w:color w:val="auto"/>
                <w:szCs w:val="21"/>
              </w:rPr>
              <w:t>（64）</w:t>
            </w:r>
            <w:r>
              <w:rPr>
                <w:rFonts w:hint="default" w:ascii="Times New Roman" w:hAnsi="Times New Roman" w:eastAsia="仿宋_GB2312" w:cs="Times New Roman"/>
                <w:b/>
                <w:bCs/>
                <w:color w:val="auto"/>
                <w:szCs w:val="21"/>
              </w:rPr>
              <w:t>实验室改造工程应经过审批后实施</w:t>
            </w:r>
          </w:p>
        </w:tc>
        <w:tc>
          <w:tcPr>
            <w:tcW w:w="2543" w:type="dxa"/>
            <w:tcMar>
              <w:left w:w="45" w:type="dxa"/>
              <w:right w:w="45" w:type="dxa"/>
            </w:tcMar>
            <w:vAlign w:val="center"/>
          </w:tcPr>
          <w:p w14:paraId="5B9B72F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p>
        </w:tc>
      </w:tr>
      <w:tr w14:paraId="5AD2B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E0FB84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6.2</w:t>
            </w:r>
          </w:p>
        </w:tc>
        <w:tc>
          <w:tcPr>
            <w:tcW w:w="14023" w:type="dxa"/>
            <w:gridSpan w:val="3"/>
            <w:tcMar>
              <w:left w:w="45" w:type="dxa"/>
              <w:right w:w="45" w:type="dxa"/>
            </w:tcMar>
            <w:vAlign w:val="center"/>
          </w:tcPr>
          <w:p w14:paraId="061FD3B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卫生与日常管理</w:t>
            </w:r>
          </w:p>
        </w:tc>
      </w:tr>
      <w:tr w14:paraId="4047C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7B0162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6.2.1</w:t>
            </w:r>
          </w:p>
        </w:tc>
        <w:tc>
          <w:tcPr>
            <w:tcW w:w="3703" w:type="dxa"/>
            <w:tcMar>
              <w:left w:w="45" w:type="dxa"/>
              <w:right w:w="45" w:type="dxa"/>
            </w:tcMar>
            <w:vAlign w:val="center"/>
          </w:tcPr>
          <w:p w14:paraId="2A3F74F8">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实验室分区应相对独立，布局合理</w:t>
            </w:r>
          </w:p>
        </w:tc>
        <w:tc>
          <w:tcPr>
            <w:tcW w:w="7777" w:type="dxa"/>
            <w:tcMar>
              <w:left w:w="45" w:type="dxa"/>
              <w:right w:w="45" w:type="dxa"/>
            </w:tcMar>
            <w:vAlign w:val="center"/>
          </w:tcPr>
          <w:p w14:paraId="2F972B0D">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r>
              <w:rPr>
                <w:rFonts w:hint="default" w:ascii="Times New Roman" w:hAnsi="Times New Roman" w:eastAsia="仿宋_GB2312" w:cs="Times New Roman"/>
                <w:color w:val="auto"/>
                <w:szCs w:val="21"/>
              </w:rPr>
              <w:t>（65）有毒有害实验区与学习区明确分开，合理布局，重点关注化学、生物、辐射、激光等类别实验室。如部分区域分区不明显，现场查看有毒有害物质的管理须对工作环境无健康危害。</w:t>
            </w:r>
          </w:p>
        </w:tc>
        <w:tc>
          <w:tcPr>
            <w:tcW w:w="2543" w:type="dxa"/>
            <w:tcMar>
              <w:left w:w="45" w:type="dxa"/>
              <w:right w:w="45" w:type="dxa"/>
            </w:tcMar>
            <w:vAlign w:val="center"/>
          </w:tcPr>
          <w:p w14:paraId="2AC1B582">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p>
        </w:tc>
      </w:tr>
      <w:tr w14:paraId="0F55A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69C34DE">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6.2.2</w:t>
            </w:r>
          </w:p>
        </w:tc>
        <w:tc>
          <w:tcPr>
            <w:tcW w:w="3703" w:type="dxa"/>
            <w:tcMar>
              <w:left w:w="45" w:type="dxa"/>
              <w:right w:w="45" w:type="dxa"/>
            </w:tcMar>
            <w:vAlign w:val="center"/>
          </w:tcPr>
          <w:p w14:paraId="66DCBE2D">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bCs/>
                <w:color w:val="auto"/>
                <w:szCs w:val="21"/>
              </w:rPr>
              <w:t>实验室环境应整洁卫生有序</w:t>
            </w:r>
          </w:p>
        </w:tc>
        <w:tc>
          <w:tcPr>
            <w:tcW w:w="7777" w:type="dxa"/>
            <w:tcMar>
              <w:left w:w="45" w:type="dxa"/>
              <w:right w:w="45" w:type="dxa"/>
            </w:tcMar>
            <w:vAlign w:val="center"/>
          </w:tcPr>
          <w:p w14:paraId="10899376">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（66）实验室物品摆放有序，卫生状况良好，实验完毕物品归位，无废弃物品、不放无关物品。</w:t>
            </w:r>
          </w:p>
          <w:p w14:paraId="02EE0C16">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r>
              <w:rPr>
                <w:rFonts w:hint="default" w:ascii="Times New Roman" w:hAnsi="Times New Roman" w:eastAsia="仿宋_GB2312" w:cs="Times New Roman"/>
                <w:color w:val="auto"/>
                <w:szCs w:val="21"/>
              </w:rPr>
              <w:t>（67）</w:t>
            </w:r>
            <w:r>
              <w:rPr>
                <w:rFonts w:hint="default" w:ascii="Times New Roman" w:hAnsi="Times New Roman" w:eastAsia="仿宋_GB2312" w:cs="Times New Roman"/>
                <w:color w:val="auto"/>
                <w:kern w:val="0"/>
                <w:szCs w:val="21"/>
              </w:rPr>
              <w:t>不在实验室睡觉，不存放和烧煮食物、饮食，禁止吸烟，不使用可燃性蚊香</w:t>
            </w:r>
          </w:p>
        </w:tc>
        <w:tc>
          <w:tcPr>
            <w:tcW w:w="2543" w:type="dxa"/>
            <w:tcMar>
              <w:left w:w="45" w:type="dxa"/>
              <w:right w:w="45" w:type="dxa"/>
            </w:tcMar>
            <w:vAlign w:val="center"/>
          </w:tcPr>
          <w:p w14:paraId="2B0569B8">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p>
        </w:tc>
      </w:tr>
      <w:tr w14:paraId="55919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0D5F3F0">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6.2.3</w:t>
            </w:r>
          </w:p>
        </w:tc>
        <w:tc>
          <w:tcPr>
            <w:tcW w:w="3703" w:type="dxa"/>
            <w:tcMar>
              <w:left w:w="45" w:type="dxa"/>
              <w:right w:w="45" w:type="dxa"/>
            </w:tcMar>
            <w:vAlign w:val="center"/>
          </w:tcPr>
          <w:p w14:paraId="38FA1473">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实验室有卫生安全制度</w:t>
            </w:r>
          </w:p>
        </w:tc>
        <w:tc>
          <w:tcPr>
            <w:tcW w:w="7777" w:type="dxa"/>
            <w:tcMar>
              <w:left w:w="45" w:type="dxa"/>
              <w:right w:w="45" w:type="dxa"/>
            </w:tcMar>
            <w:vAlign w:val="center"/>
          </w:tcPr>
          <w:p w14:paraId="4F0D4DCF">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r>
              <w:rPr>
                <w:rFonts w:hint="default" w:ascii="Times New Roman" w:hAnsi="Times New Roman" w:eastAsia="仿宋_GB2312" w:cs="Times New Roman"/>
                <w:color w:val="auto"/>
                <w:kern w:val="0"/>
                <w:szCs w:val="21"/>
              </w:rPr>
              <w:t>（68）实验期间有记录</w:t>
            </w:r>
          </w:p>
        </w:tc>
        <w:tc>
          <w:tcPr>
            <w:tcW w:w="2543" w:type="dxa"/>
            <w:tcMar>
              <w:left w:w="45" w:type="dxa"/>
              <w:right w:w="45" w:type="dxa"/>
            </w:tcMar>
            <w:vAlign w:val="center"/>
          </w:tcPr>
          <w:p w14:paraId="6CA39BB8">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p>
        </w:tc>
      </w:tr>
      <w:tr w14:paraId="6F4A3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3A14DB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6.3</w:t>
            </w:r>
          </w:p>
        </w:tc>
        <w:tc>
          <w:tcPr>
            <w:tcW w:w="14023" w:type="dxa"/>
            <w:gridSpan w:val="3"/>
            <w:tcMar>
              <w:left w:w="45" w:type="dxa"/>
              <w:right w:w="45" w:type="dxa"/>
            </w:tcMar>
            <w:vAlign w:val="center"/>
          </w:tcPr>
          <w:p w14:paraId="687A7A1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场所其他安全</w:t>
            </w:r>
          </w:p>
        </w:tc>
      </w:tr>
      <w:tr w14:paraId="5A3C0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CEE49E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6.3.1</w:t>
            </w:r>
          </w:p>
        </w:tc>
        <w:tc>
          <w:tcPr>
            <w:tcW w:w="3703" w:type="dxa"/>
            <w:tcMar>
              <w:left w:w="45" w:type="dxa"/>
              <w:right w:w="45" w:type="dxa"/>
            </w:tcMar>
            <w:vAlign w:val="center"/>
          </w:tcPr>
          <w:p w14:paraId="15697FE8">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rPr>
              <w:t>每间实验室均有编号并登记造册</w:t>
            </w:r>
          </w:p>
        </w:tc>
        <w:tc>
          <w:tcPr>
            <w:tcW w:w="7777" w:type="dxa"/>
            <w:tcMar>
              <w:left w:w="45" w:type="dxa"/>
              <w:right w:w="45" w:type="dxa"/>
            </w:tcMar>
            <w:vAlign w:val="center"/>
          </w:tcPr>
          <w:p w14:paraId="487C2514">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r>
              <w:rPr>
                <w:rFonts w:hint="default" w:ascii="Times New Roman" w:hAnsi="Times New Roman" w:eastAsia="仿宋_GB2312" w:cs="Times New Roman"/>
                <w:bCs/>
                <w:color w:val="auto"/>
                <w:szCs w:val="21"/>
              </w:rPr>
              <w:t>（69）现场查看门牌，查阅档案</w:t>
            </w:r>
          </w:p>
        </w:tc>
        <w:tc>
          <w:tcPr>
            <w:tcW w:w="2543" w:type="dxa"/>
            <w:tcMar>
              <w:left w:w="45" w:type="dxa"/>
              <w:right w:w="45" w:type="dxa"/>
            </w:tcMar>
            <w:vAlign w:val="center"/>
          </w:tcPr>
          <w:p w14:paraId="53FED91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p>
        </w:tc>
      </w:tr>
      <w:tr w14:paraId="6E1D3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489FBA6">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6.3.2</w:t>
            </w:r>
          </w:p>
        </w:tc>
        <w:tc>
          <w:tcPr>
            <w:tcW w:w="3703" w:type="dxa"/>
            <w:tcMar>
              <w:left w:w="45" w:type="dxa"/>
              <w:right w:w="45" w:type="dxa"/>
            </w:tcMar>
            <w:vAlign w:val="center"/>
          </w:tcPr>
          <w:p w14:paraId="5206A6FB">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危险性实验室应配备急救物品</w:t>
            </w:r>
          </w:p>
        </w:tc>
        <w:tc>
          <w:tcPr>
            <w:tcW w:w="7777" w:type="dxa"/>
            <w:tcMar>
              <w:left w:w="45" w:type="dxa"/>
              <w:right w:w="45" w:type="dxa"/>
            </w:tcMar>
            <w:vAlign w:val="center"/>
          </w:tcPr>
          <w:p w14:paraId="063FB2DB">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r>
              <w:rPr>
                <w:rFonts w:hint="default" w:ascii="Times New Roman" w:hAnsi="Times New Roman" w:eastAsia="仿宋_GB2312" w:cs="Times New Roman"/>
                <w:color w:val="auto"/>
                <w:szCs w:val="21"/>
              </w:rPr>
              <w:t>（70）配备的急救箱不得上锁，并定期检查物品是否在保质期内</w:t>
            </w:r>
          </w:p>
        </w:tc>
        <w:tc>
          <w:tcPr>
            <w:tcW w:w="2543" w:type="dxa"/>
            <w:tcMar>
              <w:left w:w="45" w:type="dxa"/>
              <w:right w:w="45" w:type="dxa"/>
            </w:tcMar>
            <w:vAlign w:val="center"/>
          </w:tcPr>
          <w:p w14:paraId="0C7A2FAB">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p>
        </w:tc>
      </w:tr>
      <w:tr w14:paraId="3240F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AA25455">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6.3.3</w:t>
            </w:r>
          </w:p>
        </w:tc>
        <w:tc>
          <w:tcPr>
            <w:tcW w:w="3703" w:type="dxa"/>
            <w:tcMar>
              <w:left w:w="45" w:type="dxa"/>
              <w:right w:w="45" w:type="dxa"/>
            </w:tcMar>
            <w:vAlign w:val="center"/>
          </w:tcPr>
          <w:p w14:paraId="4C94E927">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停用的实验室有安全防范措施和明显标识</w:t>
            </w:r>
          </w:p>
        </w:tc>
        <w:tc>
          <w:tcPr>
            <w:tcW w:w="7777" w:type="dxa"/>
            <w:tcMar>
              <w:left w:w="45" w:type="dxa"/>
              <w:right w:w="45" w:type="dxa"/>
            </w:tcMar>
            <w:vAlign w:val="center"/>
          </w:tcPr>
          <w:p w14:paraId="125199E2">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r>
              <w:rPr>
                <w:rFonts w:hint="default" w:ascii="Times New Roman" w:hAnsi="Times New Roman" w:eastAsia="仿宋_GB2312" w:cs="Times New Roman"/>
                <w:bCs/>
                <w:color w:val="auto"/>
                <w:szCs w:val="21"/>
              </w:rPr>
              <w:t>（71）查看现场</w:t>
            </w:r>
          </w:p>
        </w:tc>
        <w:tc>
          <w:tcPr>
            <w:tcW w:w="2543" w:type="dxa"/>
            <w:tcMar>
              <w:left w:w="45" w:type="dxa"/>
              <w:right w:w="45" w:type="dxa"/>
            </w:tcMar>
            <w:vAlign w:val="center"/>
          </w:tcPr>
          <w:p w14:paraId="341DF277">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szCs w:val="21"/>
              </w:rPr>
            </w:pPr>
          </w:p>
        </w:tc>
      </w:tr>
      <w:tr w14:paraId="5C029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236B6D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7</w:t>
            </w:r>
          </w:p>
        </w:tc>
        <w:tc>
          <w:tcPr>
            <w:tcW w:w="14023" w:type="dxa"/>
            <w:gridSpan w:val="3"/>
            <w:tcMar>
              <w:left w:w="45" w:type="dxa"/>
              <w:right w:w="45" w:type="dxa"/>
            </w:tcMar>
            <w:vAlign w:val="center"/>
          </w:tcPr>
          <w:p w14:paraId="1B61DC6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安全设施</w:t>
            </w:r>
          </w:p>
        </w:tc>
      </w:tr>
      <w:tr w14:paraId="65E79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BC4349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7.1</w:t>
            </w:r>
          </w:p>
        </w:tc>
        <w:tc>
          <w:tcPr>
            <w:tcW w:w="14023" w:type="dxa"/>
            <w:gridSpan w:val="3"/>
            <w:tcMar>
              <w:left w:w="45" w:type="dxa"/>
              <w:right w:w="45" w:type="dxa"/>
            </w:tcMar>
            <w:vAlign w:val="center"/>
          </w:tcPr>
          <w:p w14:paraId="1C3C361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消防设施</w:t>
            </w:r>
          </w:p>
        </w:tc>
      </w:tr>
      <w:tr w14:paraId="752CE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69D5FC8">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7.1.1</w:t>
            </w:r>
          </w:p>
        </w:tc>
        <w:tc>
          <w:tcPr>
            <w:tcW w:w="3703" w:type="dxa"/>
            <w:tcMar>
              <w:left w:w="45" w:type="dxa"/>
              <w:right w:w="45" w:type="dxa"/>
            </w:tcMar>
            <w:vAlign w:val="center"/>
          </w:tcPr>
          <w:p w14:paraId="45AFEFE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实验室应配备合适的灭火设备，并定期开展使用训练</w:t>
            </w:r>
          </w:p>
        </w:tc>
        <w:tc>
          <w:tcPr>
            <w:tcW w:w="7777" w:type="dxa"/>
            <w:tcMar>
              <w:left w:w="45" w:type="dxa"/>
              <w:right w:w="45" w:type="dxa"/>
            </w:tcMar>
            <w:vAlign w:val="center"/>
          </w:tcPr>
          <w:p w14:paraId="6338063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（72）烟感报警器、灭火器、灭火毯、消防砂、消防喷淋等，应正常有效、方便取用。</w:t>
            </w:r>
          </w:p>
          <w:p w14:paraId="77273CD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（73）灭火器种类配置正确，且在有效期内（压力指针位置正常等），保险销正常，瓶身无破损、腐蚀</w:t>
            </w:r>
          </w:p>
        </w:tc>
        <w:tc>
          <w:tcPr>
            <w:tcW w:w="2543" w:type="dxa"/>
            <w:tcMar>
              <w:left w:w="45" w:type="dxa"/>
              <w:right w:w="45" w:type="dxa"/>
            </w:tcMar>
            <w:vAlign w:val="center"/>
          </w:tcPr>
          <w:p w14:paraId="4A9A429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5DC0C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913735F">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7.1.2</w:t>
            </w:r>
          </w:p>
        </w:tc>
        <w:tc>
          <w:tcPr>
            <w:tcW w:w="3703" w:type="dxa"/>
            <w:tcMar>
              <w:left w:w="45" w:type="dxa"/>
              <w:right w:w="45" w:type="dxa"/>
            </w:tcMar>
            <w:vAlign w:val="center"/>
          </w:tcPr>
          <w:p w14:paraId="70EE4A6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紧急逃生疏散路线通畅</w:t>
            </w:r>
          </w:p>
        </w:tc>
        <w:tc>
          <w:tcPr>
            <w:tcW w:w="7777" w:type="dxa"/>
            <w:tcMar>
              <w:left w:w="45" w:type="dxa"/>
              <w:right w:w="45" w:type="dxa"/>
            </w:tcMar>
            <w:vAlign w:val="center"/>
          </w:tcPr>
          <w:p w14:paraId="21B7D78B">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（74）在显著位置张贴有紧急逃生疏散路线图，疏散路线图的逃生路线应有二条（含）以上，路线与现场情况符合。</w:t>
            </w:r>
          </w:p>
          <w:p w14:paraId="7297F031">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szCs w:val="21"/>
              </w:rPr>
              <w:t>（75）主要逃生路径（室内、楼梯、通道和出口处）有足够的紧急照明灯，功能正常</w:t>
            </w:r>
            <w:r>
              <w:rPr>
                <w:rFonts w:hint="default" w:ascii="Times New Roman" w:hAnsi="Times New Roman" w:eastAsia="仿宋_GB2312" w:cs="Times New Roman"/>
                <w:color w:val="auto"/>
                <w:kern w:val="0"/>
              </w:rPr>
              <w:t>，并设置有效标志指示逃生方向。</w:t>
            </w:r>
          </w:p>
          <w:p w14:paraId="3C83CE91">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rPr>
              <w:t>（76）</w:t>
            </w:r>
            <w:r>
              <w:rPr>
                <w:rFonts w:hint="default" w:ascii="Times New Roman" w:hAnsi="Times New Roman" w:eastAsia="仿宋_GB2312" w:cs="Times New Roman"/>
                <w:color w:val="auto"/>
                <w:kern w:val="0"/>
                <w:szCs w:val="21"/>
              </w:rPr>
              <w:t>人员应熟悉紧急疏散路线及火场逃生注意事项（现场调查人员熟悉程度）</w:t>
            </w:r>
          </w:p>
        </w:tc>
        <w:tc>
          <w:tcPr>
            <w:tcW w:w="2543" w:type="dxa"/>
            <w:tcMar>
              <w:left w:w="45" w:type="dxa"/>
              <w:right w:w="45" w:type="dxa"/>
            </w:tcMar>
            <w:vAlign w:val="center"/>
          </w:tcPr>
          <w:p w14:paraId="6565344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75A7B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F74C73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7.2</w:t>
            </w:r>
          </w:p>
        </w:tc>
        <w:tc>
          <w:tcPr>
            <w:tcW w:w="14023" w:type="dxa"/>
            <w:gridSpan w:val="3"/>
            <w:tcMar>
              <w:left w:w="45" w:type="dxa"/>
              <w:right w:w="45" w:type="dxa"/>
            </w:tcMar>
            <w:vAlign w:val="center"/>
          </w:tcPr>
          <w:p w14:paraId="4D8610D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应急喷淋与洗眼装置</w:t>
            </w:r>
          </w:p>
        </w:tc>
      </w:tr>
      <w:tr w14:paraId="32A68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6DB902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7.2.1</w:t>
            </w:r>
          </w:p>
        </w:tc>
        <w:tc>
          <w:tcPr>
            <w:tcW w:w="3703" w:type="dxa"/>
            <w:tcMar>
              <w:left w:w="45" w:type="dxa"/>
              <w:right w:w="45" w:type="dxa"/>
            </w:tcMar>
            <w:vAlign w:val="center"/>
          </w:tcPr>
          <w:p w14:paraId="1675793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存在燃烧、腐蚀等风险的实验区域，须配置应急喷淋和洗眼装置</w:t>
            </w:r>
          </w:p>
        </w:tc>
        <w:tc>
          <w:tcPr>
            <w:tcW w:w="7777" w:type="dxa"/>
            <w:tcMar>
              <w:left w:w="45" w:type="dxa"/>
              <w:right w:w="45" w:type="dxa"/>
            </w:tcMar>
            <w:vAlign w:val="center"/>
          </w:tcPr>
          <w:p w14:paraId="4DA9CB0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（77）应急喷淋和洗眼装置的区域有显著标志</w:t>
            </w:r>
          </w:p>
        </w:tc>
        <w:tc>
          <w:tcPr>
            <w:tcW w:w="2543" w:type="dxa"/>
            <w:tcMar>
              <w:left w:w="45" w:type="dxa"/>
              <w:right w:w="45" w:type="dxa"/>
            </w:tcMar>
            <w:vAlign w:val="center"/>
          </w:tcPr>
          <w:p w14:paraId="05589D2E">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rPr>
            </w:pPr>
          </w:p>
        </w:tc>
      </w:tr>
      <w:tr w14:paraId="5CF16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65909C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7.2.2</w:t>
            </w:r>
          </w:p>
        </w:tc>
        <w:tc>
          <w:tcPr>
            <w:tcW w:w="3703" w:type="dxa"/>
            <w:tcMar>
              <w:left w:w="45" w:type="dxa"/>
              <w:right w:w="45" w:type="dxa"/>
            </w:tcMar>
            <w:vAlign w:val="center"/>
          </w:tcPr>
          <w:p w14:paraId="7896FE9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应急喷淋与洗眼装置安装合理，并能正常使用</w:t>
            </w:r>
          </w:p>
        </w:tc>
        <w:tc>
          <w:tcPr>
            <w:tcW w:w="7777" w:type="dxa"/>
            <w:tcMar>
              <w:left w:w="45" w:type="dxa"/>
              <w:right w:w="45" w:type="dxa"/>
            </w:tcMar>
            <w:vAlign w:val="center"/>
          </w:tcPr>
          <w:p w14:paraId="08D571C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（78）应急喷淋安装地点与工作区域之间畅通，距离不超过30m。应急喷淋安装位置合适，拉杆位置合适、方向正确。应急喷淋装置水管总阀为常开状态，喷淋头下方410mm范围内无障碍物。</w:t>
            </w:r>
          </w:p>
          <w:p w14:paraId="60AAD1A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（79）不能以普通淋浴装置代替应急喷淋装置。</w:t>
            </w:r>
          </w:p>
          <w:p w14:paraId="5858B00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（80）洗眼装置接入生活用水管道，应至少以1.5L/min的流量供水，水压适中，</w:t>
            </w:r>
            <w:r>
              <w:rPr>
                <w:rFonts w:hint="default" w:ascii="Times New Roman" w:hAnsi="Times New Roman" w:eastAsia="仿宋_GB2312" w:cs="Times New Roman"/>
                <w:bCs/>
                <w:color w:val="auto"/>
                <w:kern w:val="0"/>
                <w:szCs w:val="21"/>
              </w:rPr>
              <w:t>水流畅通平稳</w:t>
            </w:r>
          </w:p>
        </w:tc>
        <w:tc>
          <w:tcPr>
            <w:tcW w:w="2543" w:type="dxa"/>
            <w:tcMar>
              <w:left w:w="45" w:type="dxa"/>
              <w:right w:w="45" w:type="dxa"/>
            </w:tcMar>
            <w:vAlign w:val="center"/>
          </w:tcPr>
          <w:p w14:paraId="05EB2D4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4ED1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1CC081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7.2.3</w:t>
            </w:r>
          </w:p>
        </w:tc>
        <w:tc>
          <w:tcPr>
            <w:tcW w:w="3703" w:type="dxa"/>
            <w:tcMar>
              <w:left w:w="45" w:type="dxa"/>
              <w:right w:w="45" w:type="dxa"/>
            </w:tcMar>
            <w:vAlign w:val="center"/>
          </w:tcPr>
          <w:p w14:paraId="5704ED3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定期对应急喷淋与洗眼装置进行维护</w:t>
            </w:r>
          </w:p>
        </w:tc>
        <w:tc>
          <w:tcPr>
            <w:tcW w:w="7777" w:type="dxa"/>
            <w:tcMar>
              <w:left w:w="45" w:type="dxa"/>
              <w:right w:w="45" w:type="dxa"/>
            </w:tcMar>
            <w:vAlign w:val="center"/>
          </w:tcPr>
          <w:p w14:paraId="24B3E8D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（81）经常对应急喷淋与洗眼装置进行维护，无锈水、脏水，有检查记录</w:t>
            </w:r>
          </w:p>
        </w:tc>
        <w:tc>
          <w:tcPr>
            <w:tcW w:w="2543" w:type="dxa"/>
            <w:tcMar>
              <w:left w:w="45" w:type="dxa"/>
              <w:right w:w="45" w:type="dxa"/>
            </w:tcMar>
            <w:vAlign w:val="center"/>
          </w:tcPr>
          <w:p w14:paraId="4CC55DA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0C5E5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4E210C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7.3</w:t>
            </w:r>
          </w:p>
        </w:tc>
        <w:tc>
          <w:tcPr>
            <w:tcW w:w="14023" w:type="dxa"/>
            <w:gridSpan w:val="3"/>
            <w:tcMar>
              <w:left w:w="45" w:type="dxa"/>
              <w:right w:w="45" w:type="dxa"/>
            </w:tcMar>
            <w:vAlign w:val="center"/>
          </w:tcPr>
          <w:p w14:paraId="7DD15C6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通风系统</w:t>
            </w:r>
          </w:p>
        </w:tc>
      </w:tr>
      <w:tr w14:paraId="1364E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374B96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7.3.1</w:t>
            </w:r>
          </w:p>
        </w:tc>
        <w:tc>
          <w:tcPr>
            <w:tcW w:w="3703" w:type="dxa"/>
            <w:tcMar>
              <w:left w:w="45" w:type="dxa"/>
              <w:right w:w="45" w:type="dxa"/>
            </w:tcMar>
            <w:vAlign w:val="center"/>
          </w:tcPr>
          <w:p w14:paraId="00A41F2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有需要的实验场所配备符合设计规范的通风系统</w:t>
            </w:r>
          </w:p>
        </w:tc>
        <w:tc>
          <w:tcPr>
            <w:tcW w:w="7777" w:type="dxa"/>
            <w:tcMar>
              <w:left w:w="45" w:type="dxa"/>
              <w:right w:w="45" w:type="dxa"/>
            </w:tcMar>
            <w:vAlign w:val="center"/>
          </w:tcPr>
          <w:p w14:paraId="083BB6F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（82）管道和风机须防腐，使用可燃气体的场所宜采用防爆风机。</w:t>
            </w:r>
          </w:p>
          <w:p w14:paraId="16B6E32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bCs/>
                <w:color w:val="auto"/>
                <w:kern w:val="0"/>
                <w:szCs w:val="21"/>
              </w:rPr>
              <w:t>（83）</w:t>
            </w:r>
            <w:r>
              <w:rPr>
                <w:rFonts w:hint="default" w:ascii="Times New Roman" w:hAnsi="Times New Roman" w:eastAsia="仿宋_GB2312" w:cs="Times New Roman"/>
                <w:b/>
                <w:bCs/>
                <w:color w:val="auto"/>
                <w:kern w:val="0"/>
                <w:szCs w:val="21"/>
              </w:rPr>
              <w:t>实验室通风系统运行正常，</w:t>
            </w:r>
            <w:r>
              <w:rPr>
                <w:rFonts w:hint="default" w:ascii="Times New Roman" w:hAnsi="Times New Roman" w:eastAsia="仿宋_GB2312" w:cs="Times New Roman"/>
                <w:b/>
                <w:bCs/>
                <w:color w:val="auto"/>
                <w:szCs w:val="21"/>
              </w:rPr>
              <w:t>柜口面</w:t>
            </w:r>
            <w:r>
              <w:rPr>
                <w:rFonts w:hint="default" w:ascii="Times New Roman" w:hAnsi="Times New Roman" w:eastAsia="仿宋_GB2312" w:cs="Times New Roman"/>
                <w:b/>
                <w:bCs/>
                <w:color w:val="auto"/>
                <w:kern w:val="0"/>
                <w:szCs w:val="21"/>
              </w:rPr>
              <w:t>风速0.35~0.75m/s，定期进行维护、检修</w:t>
            </w:r>
            <w:r>
              <w:rPr>
                <w:rFonts w:hint="default" w:ascii="Times New Roman" w:hAnsi="Times New Roman" w:eastAsia="仿宋_GB2312" w:cs="Times New Roman"/>
                <w:color w:val="auto"/>
                <w:kern w:val="0"/>
                <w:szCs w:val="21"/>
              </w:rPr>
              <w:t>。</w:t>
            </w:r>
          </w:p>
          <w:p w14:paraId="7039474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（84）屋顶风机固定无松动、无异常噪声</w:t>
            </w:r>
          </w:p>
        </w:tc>
        <w:tc>
          <w:tcPr>
            <w:tcW w:w="2543" w:type="dxa"/>
            <w:tcMar>
              <w:left w:w="45" w:type="dxa"/>
              <w:right w:w="45" w:type="dxa"/>
            </w:tcMar>
            <w:vAlign w:val="center"/>
          </w:tcPr>
          <w:p w14:paraId="7A8A35FE">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10BF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BD3FAB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7.3.2</w:t>
            </w:r>
          </w:p>
        </w:tc>
        <w:tc>
          <w:tcPr>
            <w:tcW w:w="3703" w:type="dxa"/>
            <w:tcMar>
              <w:left w:w="45" w:type="dxa"/>
              <w:right w:w="45" w:type="dxa"/>
            </w:tcMar>
            <w:vAlign w:val="center"/>
          </w:tcPr>
          <w:p w14:paraId="3355F10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通风柜配置合理、使用正常、操作合规</w:t>
            </w:r>
          </w:p>
        </w:tc>
        <w:tc>
          <w:tcPr>
            <w:tcW w:w="7777" w:type="dxa"/>
            <w:tcMar>
              <w:left w:w="45" w:type="dxa"/>
              <w:right w:w="45" w:type="dxa"/>
            </w:tcMar>
            <w:vAlign w:val="center"/>
          </w:tcPr>
          <w:p w14:paraId="6D4D72F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（85）实验室排出的有害物质浓度超过国家现行标准规定的允许排放标准时，须采取净化措施，做到达标排放。</w:t>
            </w:r>
          </w:p>
          <w:p w14:paraId="0E79109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（86）任何可能产生有毒有害气体而导致个人曝露，或产生可燃、可爆炸气体或蒸气而导致积聚的实验，都须在通风柜内进行。</w:t>
            </w:r>
          </w:p>
          <w:p w14:paraId="223B1C7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（87）进行实验时，通风柜可调玻璃视窗开至离台面10</w:t>
            </w:r>
            <w:r>
              <w:rPr>
                <w:rFonts w:hint="default" w:ascii="Times New Roman" w:hAnsi="Times New Roman" w:eastAsia="仿宋_GB2312" w:cs="Times New Roman"/>
                <w:color w:val="auto"/>
              </w:rPr>
              <w:t xml:space="preserve"> </w:t>
            </w:r>
            <w:r>
              <w:rPr>
                <w:rFonts w:hint="default" w:ascii="Times New Roman" w:hAnsi="Times New Roman" w:eastAsia="仿宋_GB2312" w:cs="Times New Roman"/>
                <w:color w:val="auto"/>
                <w:kern w:val="0"/>
                <w:szCs w:val="21"/>
              </w:rPr>
              <w:t>~ 15cm，保持通风效果，并保护操作人员胸部以上部位。实验人员在通风柜进行实验时，避免将头伸入调节门内。不可将一次性手套或较轻的塑料袋等留在通风柜内，以免堵塞排风口。通风柜内放置的物品应距离调节门内侧15cm以上，以免掉落。不得将通风柜作为化学试剂存放场所。</w:t>
            </w:r>
            <w:r>
              <w:rPr>
                <w:rFonts w:hint="default" w:ascii="Times New Roman" w:hAnsi="Times New Roman" w:eastAsia="仿宋_GB2312" w:cs="Times New Roman"/>
                <w:bCs/>
                <w:color w:val="auto"/>
                <w:kern w:val="0"/>
                <w:szCs w:val="21"/>
              </w:rPr>
              <w:t>玻璃视窗材料应是钢化玻璃</w:t>
            </w:r>
          </w:p>
        </w:tc>
        <w:tc>
          <w:tcPr>
            <w:tcW w:w="2543" w:type="dxa"/>
            <w:tcMar>
              <w:left w:w="45" w:type="dxa"/>
              <w:right w:w="45" w:type="dxa"/>
            </w:tcMar>
            <w:vAlign w:val="center"/>
          </w:tcPr>
          <w:p w14:paraId="4FCBD7F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839F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127209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7.4</w:t>
            </w:r>
          </w:p>
        </w:tc>
        <w:tc>
          <w:tcPr>
            <w:tcW w:w="14023" w:type="dxa"/>
            <w:gridSpan w:val="3"/>
            <w:tcMar>
              <w:left w:w="45" w:type="dxa"/>
              <w:right w:w="45" w:type="dxa"/>
            </w:tcMar>
            <w:vAlign w:val="center"/>
          </w:tcPr>
          <w:p w14:paraId="3A1819C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门禁监控</w:t>
            </w:r>
          </w:p>
        </w:tc>
      </w:tr>
      <w:tr w14:paraId="461A8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40BA17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7.4.1</w:t>
            </w:r>
          </w:p>
        </w:tc>
        <w:tc>
          <w:tcPr>
            <w:tcW w:w="3703" w:type="dxa"/>
            <w:tcMar>
              <w:left w:w="45" w:type="dxa"/>
              <w:right w:w="45" w:type="dxa"/>
            </w:tcMar>
            <w:vAlign w:val="center"/>
          </w:tcPr>
          <w:p w14:paraId="777F19B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重点场所须安装门禁和监控设施，并有专人管理</w:t>
            </w:r>
          </w:p>
        </w:tc>
        <w:tc>
          <w:tcPr>
            <w:tcW w:w="7777" w:type="dxa"/>
            <w:tcMar>
              <w:left w:w="45" w:type="dxa"/>
              <w:right w:w="45" w:type="dxa"/>
            </w:tcMar>
            <w:vAlign w:val="center"/>
          </w:tcPr>
          <w:p w14:paraId="488C5C0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（88）关注重点场所，如有剧毒品、病原微生物、放射源、核材料等危险源的地点</w:t>
            </w:r>
          </w:p>
        </w:tc>
        <w:tc>
          <w:tcPr>
            <w:tcW w:w="2543" w:type="dxa"/>
            <w:tcMar>
              <w:left w:w="45" w:type="dxa"/>
              <w:right w:w="45" w:type="dxa"/>
            </w:tcMar>
            <w:vAlign w:val="center"/>
          </w:tcPr>
          <w:p w14:paraId="6AA00D8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517A1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B917F6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7.4.2</w:t>
            </w:r>
          </w:p>
        </w:tc>
        <w:tc>
          <w:tcPr>
            <w:tcW w:w="3703" w:type="dxa"/>
            <w:tcMar>
              <w:left w:w="45" w:type="dxa"/>
              <w:right w:w="45" w:type="dxa"/>
            </w:tcMar>
            <w:vAlign w:val="center"/>
          </w:tcPr>
          <w:p w14:paraId="22B3163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门禁和监控系统运转正常，与实验室准入制度相匹配</w:t>
            </w:r>
          </w:p>
        </w:tc>
        <w:tc>
          <w:tcPr>
            <w:tcW w:w="7777" w:type="dxa"/>
            <w:tcMar>
              <w:left w:w="45" w:type="dxa"/>
              <w:right w:w="45" w:type="dxa"/>
            </w:tcMar>
            <w:vAlign w:val="center"/>
          </w:tcPr>
          <w:p w14:paraId="53784E1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（89）监控不留死角，图像清晰，人员出入记录可查，视频记录存储时间不少于30天。</w:t>
            </w:r>
          </w:p>
          <w:p w14:paraId="7087468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（90）停电时，电子门禁系统应是开启状态或者有备用机械钥匙</w:t>
            </w:r>
          </w:p>
        </w:tc>
        <w:tc>
          <w:tcPr>
            <w:tcW w:w="2543" w:type="dxa"/>
            <w:tcMar>
              <w:left w:w="45" w:type="dxa"/>
              <w:right w:w="45" w:type="dxa"/>
            </w:tcMar>
            <w:vAlign w:val="center"/>
          </w:tcPr>
          <w:p w14:paraId="22F013D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268F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6E685F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7.5</w:t>
            </w:r>
          </w:p>
        </w:tc>
        <w:tc>
          <w:tcPr>
            <w:tcW w:w="14023" w:type="dxa"/>
            <w:gridSpan w:val="3"/>
            <w:tcMar>
              <w:left w:w="45" w:type="dxa"/>
              <w:right w:w="45" w:type="dxa"/>
            </w:tcMar>
            <w:vAlign w:val="center"/>
          </w:tcPr>
          <w:p w14:paraId="022CBA7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szCs w:val="21"/>
              </w:rPr>
            </w:pPr>
            <w:r>
              <w:rPr>
                <w:rFonts w:hint="default" w:ascii="Times New Roman" w:hAnsi="Times New Roman" w:eastAsia="仿宋_GB2312" w:cs="Times New Roman"/>
                <w:b/>
                <w:color w:val="auto"/>
                <w:szCs w:val="21"/>
              </w:rPr>
              <w:t>实验室防爆</w:t>
            </w:r>
          </w:p>
        </w:tc>
      </w:tr>
      <w:tr w14:paraId="062C8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1D1365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7.5.1</w:t>
            </w:r>
          </w:p>
        </w:tc>
        <w:tc>
          <w:tcPr>
            <w:tcW w:w="3703" w:type="dxa"/>
            <w:tcMar>
              <w:left w:w="45" w:type="dxa"/>
              <w:right w:w="45" w:type="dxa"/>
            </w:tcMar>
            <w:vAlign w:val="center"/>
          </w:tcPr>
          <w:p w14:paraId="42F22917">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有防爆需求的实验室须符合防爆设计要求</w:t>
            </w:r>
          </w:p>
        </w:tc>
        <w:tc>
          <w:tcPr>
            <w:tcW w:w="7777" w:type="dxa"/>
            <w:tcMar>
              <w:left w:w="45" w:type="dxa"/>
              <w:right w:w="45" w:type="dxa"/>
            </w:tcMar>
            <w:vAlign w:val="center"/>
          </w:tcPr>
          <w:p w14:paraId="7A89028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（91）有防爆需求的实验室，应选用防爆型的电气设备。防爆灯、防爆电气开关、除尘装置、导线敷设等应达到整体防爆要求；安装必要的气体报警系统、监控系统、应急系统等。</w:t>
            </w:r>
          </w:p>
          <w:p w14:paraId="760E0A9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（92）可燃气体管道，应科学选用和安装阻火器。</w:t>
            </w:r>
          </w:p>
          <w:p w14:paraId="77DFDC9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（93）采取有效措施，避免或减少出现危险爆炸性环境，避免出现任何潜在的有效点燃源</w:t>
            </w:r>
          </w:p>
        </w:tc>
        <w:tc>
          <w:tcPr>
            <w:tcW w:w="2543" w:type="dxa"/>
            <w:tcMar>
              <w:left w:w="45" w:type="dxa"/>
              <w:right w:w="45" w:type="dxa"/>
            </w:tcMar>
            <w:vAlign w:val="center"/>
          </w:tcPr>
          <w:p w14:paraId="408C081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p>
        </w:tc>
      </w:tr>
      <w:tr w14:paraId="68D68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968FCE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7.5.2</w:t>
            </w:r>
          </w:p>
        </w:tc>
        <w:tc>
          <w:tcPr>
            <w:tcW w:w="3703" w:type="dxa"/>
            <w:tcMar>
              <w:left w:w="45" w:type="dxa"/>
              <w:right w:w="45" w:type="dxa"/>
            </w:tcMar>
            <w:vAlign w:val="center"/>
          </w:tcPr>
          <w:p w14:paraId="044011B1">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应妥善防护具有爆炸危险性的仪器设备</w:t>
            </w:r>
          </w:p>
        </w:tc>
        <w:tc>
          <w:tcPr>
            <w:tcW w:w="7777" w:type="dxa"/>
            <w:tcMar>
              <w:left w:w="45" w:type="dxa"/>
              <w:right w:w="45" w:type="dxa"/>
            </w:tcMar>
            <w:vAlign w:val="center"/>
          </w:tcPr>
          <w:p w14:paraId="17B9F13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（94）使用适合的安全罩防护</w:t>
            </w:r>
          </w:p>
        </w:tc>
        <w:tc>
          <w:tcPr>
            <w:tcW w:w="2543" w:type="dxa"/>
            <w:tcMar>
              <w:left w:w="45" w:type="dxa"/>
              <w:right w:w="45" w:type="dxa"/>
            </w:tcMar>
            <w:vAlign w:val="center"/>
          </w:tcPr>
          <w:p w14:paraId="772EBB1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p>
        </w:tc>
      </w:tr>
      <w:tr w14:paraId="7C524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348C09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8</w:t>
            </w:r>
          </w:p>
        </w:tc>
        <w:tc>
          <w:tcPr>
            <w:tcW w:w="14023" w:type="dxa"/>
            <w:gridSpan w:val="3"/>
            <w:tcMar>
              <w:left w:w="45" w:type="dxa"/>
              <w:right w:w="45" w:type="dxa"/>
            </w:tcMar>
            <w:vAlign w:val="center"/>
          </w:tcPr>
          <w:p w14:paraId="3308108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基础安全</w:t>
            </w:r>
          </w:p>
        </w:tc>
      </w:tr>
      <w:tr w14:paraId="2812F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6FEB9F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8.1</w:t>
            </w:r>
          </w:p>
        </w:tc>
        <w:tc>
          <w:tcPr>
            <w:tcW w:w="14023" w:type="dxa"/>
            <w:gridSpan w:val="3"/>
            <w:tcMar>
              <w:left w:w="45" w:type="dxa"/>
              <w:right w:w="45" w:type="dxa"/>
            </w:tcMar>
            <w:vAlign w:val="center"/>
          </w:tcPr>
          <w:p w14:paraId="2EDA3DE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用电、用水基础安全</w:t>
            </w:r>
          </w:p>
        </w:tc>
      </w:tr>
      <w:tr w14:paraId="1D128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F3F33C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8.1.1</w:t>
            </w:r>
          </w:p>
        </w:tc>
        <w:tc>
          <w:tcPr>
            <w:tcW w:w="3703" w:type="dxa"/>
            <w:tcMar>
              <w:left w:w="45" w:type="dxa"/>
              <w:right w:w="45" w:type="dxa"/>
            </w:tcMar>
            <w:vAlign w:val="center"/>
          </w:tcPr>
          <w:p w14:paraId="6E673E9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实验室用电安全应符合国家标准（导则）和行业标准</w:t>
            </w:r>
          </w:p>
        </w:tc>
        <w:tc>
          <w:tcPr>
            <w:tcW w:w="7777" w:type="dxa"/>
            <w:tcMar>
              <w:left w:w="45" w:type="dxa"/>
              <w:right w:w="45" w:type="dxa"/>
            </w:tcMar>
            <w:vAlign w:val="center"/>
          </w:tcPr>
          <w:p w14:paraId="49A4F1A0">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（95）实验室配电容量、插头插座与用电设备功率须匹配，不得私自改装。</w:t>
            </w:r>
          </w:p>
          <w:p w14:paraId="640B6B95">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（96）电源插座须有效固定。</w:t>
            </w:r>
          </w:p>
          <w:p w14:paraId="6360F260">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（97）电气设备应配备空气开关和漏电保护器。</w:t>
            </w:r>
          </w:p>
          <w:p w14:paraId="77D3994E">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szCs w:val="21"/>
              </w:rPr>
              <w:t>（98）不私自乱拉、乱接电线、电缆，禁止多个接线板串接供电，接线板不宜直接置于地面。</w:t>
            </w:r>
          </w:p>
          <w:p w14:paraId="6B0F5503">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rPr>
              <w:t>（99）禁止使用老化的线缆、花线、木质配电板、有破损的接线板，电线接头绝缘可靠，无裸露连接线，穿越通道的线缆应有盖板或护套，不使用老国标接线板、插座。</w:t>
            </w:r>
          </w:p>
          <w:p w14:paraId="3DE824B1">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（100）大功率仪器（包括空调等）使用专用插座。</w:t>
            </w:r>
          </w:p>
          <w:p w14:paraId="59DCE4D1">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（101）电器长期不用时，应切断电源。</w:t>
            </w:r>
          </w:p>
          <w:p w14:paraId="6493C408">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bookmarkStart w:id="0" w:name="OLE_LINK1"/>
            <w:r>
              <w:rPr>
                <w:rFonts w:hint="default" w:ascii="Times New Roman" w:hAnsi="Times New Roman" w:eastAsia="仿宋_GB2312" w:cs="Times New Roman"/>
                <w:color w:val="auto"/>
                <w:kern w:val="0"/>
                <w:szCs w:val="21"/>
              </w:rPr>
              <w:t>（102）配电箱前不应有物品遮挡并便于操作，周围不应放置烘箱、电炉、易燃易爆气瓶、易燃易爆化学试剂、废液桶等；配电箱的金属箱体应与箱内保护零线或保护地线可靠连接；配电箱不宜设置在水槽上方或较近位置</w:t>
            </w:r>
            <w:bookmarkEnd w:id="0"/>
          </w:p>
        </w:tc>
        <w:tc>
          <w:tcPr>
            <w:tcW w:w="2543" w:type="dxa"/>
            <w:tcMar>
              <w:left w:w="45" w:type="dxa"/>
              <w:right w:w="45" w:type="dxa"/>
            </w:tcMar>
            <w:vAlign w:val="center"/>
          </w:tcPr>
          <w:p w14:paraId="3759583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3067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CD6764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8.1.2</w:t>
            </w:r>
          </w:p>
        </w:tc>
        <w:tc>
          <w:tcPr>
            <w:tcW w:w="3703" w:type="dxa"/>
            <w:tcMar>
              <w:left w:w="45" w:type="dxa"/>
              <w:right w:w="45" w:type="dxa"/>
            </w:tcMar>
            <w:vAlign w:val="center"/>
          </w:tcPr>
          <w:p w14:paraId="447F72E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给水、排水系统布置合理，运行正常</w:t>
            </w:r>
          </w:p>
        </w:tc>
        <w:tc>
          <w:tcPr>
            <w:tcW w:w="7777" w:type="dxa"/>
            <w:tcMar>
              <w:left w:w="45" w:type="dxa"/>
              <w:right w:w="45" w:type="dxa"/>
            </w:tcMar>
            <w:vAlign w:val="center"/>
          </w:tcPr>
          <w:p w14:paraId="1C23515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（103）水槽、地漏及下水道畅通，水龙头、上下水管无破损。</w:t>
            </w:r>
          </w:p>
          <w:p w14:paraId="0B7406B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（104）各类连接管无老化破损（特别是冷却冷凝系统的橡胶管接口处）。</w:t>
            </w:r>
          </w:p>
          <w:p w14:paraId="646AA58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（105）各楼层及实验室的各级水管总阀须有明显的标识</w:t>
            </w:r>
          </w:p>
        </w:tc>
        <w:tc>
          <w:tcPr>
            <w:tcW w:w="2543" w:type="dxa"/>
            <w:tcMar>
              <w:left w:w="45" w:type="dxa"/>
              <w:right w:w="45" w:type="dxa"/>
            </w:tcMar>
            <w:vAlign w:val="center"/>
          </w:tcPr>
          <w:p w14:paraId="692965B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7951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CE5280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8.2</w:t>
            </w:r>
          </w:p>
        </w:tc>
        <w:tc>
          <w:tcPr>
            <w:tcW w:w="14023" w:type="dxa"/>
            <w:gridSpan w:val="3"/>
            <w:tcMar>
              <w:left w:w="45" w:type="dxa"/>
              <w:right w:w="45" w:type="dxa"/>
            </w:tcMar>
            <w:vAlign w:val="center"/>
          </w:tcPr>
          <w:p w14:paraId="788A125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个体防护</w:t>
            </w:r>
          </w:p>
        </w:tc>
      </w:tr>
      <w:tr w14:paraId="2607F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71C993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8.2.1</w:t>
            </w:r>
          </w:p>
        </w:tc>
        <w:tc>
          <w:tcPr>
            <w:tcW w:w="3703" w:type="dxa"/>
            <w:tcMar>
              <w:left w:w="45" w:type="dxa"/>
              <w:right w:w="45" w:type="dxa"/>
            </w:tcMar>
            <w:vAlign w:val="center"/>
          </w:tcPr>
          <w:p w14:paraId="4C2A90E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实验人员须配备合适的个体防护用品</w:t>
            </w:r>
          </w:p>
        </w:tc>
        <w:tc>
          <w:tcPr>
            <w:tcW w:w="7777" w:type="dxa"/>
            <w:tcMar>
              <w:left w:w="45" w:type="dxa"/>
              <w:right w:w="45" w:type="dxa"/>
            </w:tcMar>
            <w:vAlign w:val="center"/>
          </w:tcPr>
          <w:p w14:paraId="0328029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（106）进入实验室人员须穿着质地合适的实验服或防护服。</w:t>
            </w:r>
          </w:p>
          <w:p w14:paraId="0C436DC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（107）</w:t>
            </w:r>
            <w:r>
              <w:rPr>
                <w:rFonts w:hint="default" w:ascii="Times New Roman" w:hAnsi="Times New Roman" w:eastAsia="仿宋_GB2312" w:cs="Times New Roman"/>
                <w:b/>
                <w:bCs/>
                <w:color w:val="auto"/>
                <w:kern w:val="0"/>
                <w:szCs w:val="21"/>
              </w:rPr>
              <w:t>按需要佩戴防护眼镜、防护手套、安全帽、防护帽、呼吸器或面罩（呼吸器或面罩在有效期内，不用时须密封放置）等</w:t>
            </w:r>
            <w:r>
              <w:rPr>
                <w:rFonts w:hint="default" w:ascii="Times New Roman" w:hAnsi="Times New Roman" w:eastAsia="仿宋_GB2312" w:cs="Times New Roman"/>
                <w:color w:val="auto"/>
                <w:kern w:val="0"/>
                <w:szCs w:val="21"/>
              </w:rPr>
              <w:t>。</w:t>
            </w:r>
          </w:p>
          <w:p w14:paraId="4A0F3BC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（108）进行化学、生物安全和高温实验时，慎戴隐形眼镜。</w:t>
            </w:r>
          </w:p>
          <w:p w14:paraId="279D3CB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（109）操作机床等旋转设备时，不得佩戴长围巾、丝巾、领带等，长发须盘在工作帽内。</w:t>
            </w:r>
          </w:p>
          <w:p w14:paraId="0A84D87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（110）穿着化学、生物类实验服或戴实验手套时，不得随意进入非实验区</w:t>
            </w:r>
          </w:p>
        </w:tc>
        <w:tc>
          <w:tcPr>
            <w:tcW w:w="2543" w:type="dxa"/>
            <w:tcMar>
              <w:left w:w="45" w:type="dxa"/>
              <w:right w:w="45" w:type="dxa"/>
            </w:tcMar>
            <w:vAlign w:val="center"/>
          </w:tcPr>
          <w:p w14:paraId="346A6E1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09DF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BA34D8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8.2.2</w:t>
            </w:r>
          </w:p>
        </w:tc>
        <w:tc>
          <w:tcPr>
            <w:tcW w:w="3703" w:type="dxa"/>
            <w:tcMar>
              <w:left w:w="45" w:type="dxa"/>
              <w:right w:w="45" w:type="dxa"/>
            </w:tcMar>
            <w:vAlign w:val="center"/>
          </w:tcPr>
          <w:p w14:paraId="05CFCBC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个体防护用品合理存放，存放地点有明显标识</w:t>
            </w:r>
          </w:p>
        </w:tc>
        <w:tc>
          <w:tcPr>
            <w:tcW w:w="7777" w:type="dxa"/>
            <w:tcMar>
              <w:left w:w="45" w:type="dxa"/>
              <w:right w:w="45" w:type="dxa"/>
            </w:tcMar>
            <w:vAlign w:val="center"/>
          </w:tcPr>
          <w:p w14:paraId="265D270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highlight w:val="yellow"/>
              </w:rPr>
            </w:pPr>
            <w:r>
              <w:rPr>
                <w:rFonts w:hint="default" w:ascii="Times New Roman" w:hAnsi="Times New Roman" w:eastAsia="仿宋_GB2312" w:cs="Times New Roman"/>
                <w:color w:val="auto"/>
                <w:kern w:val="0"/>
                <w:szCs w:val="21"/>
              </w:rPr>
              <w:t>（111）在紧急情况须使用的个体防护器具应分散存放在安全场所，以便于取用</w:t>
            </w:r>
          </w:p>
        </w:tc>
        <w:tc>
          <w:tcPr>
            <w:tcW w:w="2543" w:type="dxa"/>
            <w:tcMar>
              <w:left w:w="45" w:type="dxa"/>
              <w:right w:w="45" w:type="dxa"/>
            </w:tcMar>
            <w:vAlign w:val="center"/>
          </w:tcPr>
          <w:p w14:paraId="6556DDC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868E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BEB1B4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8.2.3</w:t>
            </w:r>
          </w:p>
        </w:tc>
        <w:tc>
          <w:tcPr>
            <w:tcW w:w="3703" w:type="dxa"/>
            <w:tcMar>
              <w:left w:w="45" w:type="dxa"/>
              <w:right w:w="45" w:type="dxa"/>
            </w:tcMar>
            <w:vAlign w:val="center"/>
          </w:tcPr>
          <w:p w14:paraId="2DC6E4E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各类个体防护用品的使用有培训及定期检查维护</w:t>
            </w:r>
          </w:p>
        </w:tc>
        <w:tc>
          <w:tcPr>
            <w:tcW w:w="7777" w:type="dxa"/>
            <w:tcMar>
              <w:left w:w="45" w:type="dxa"/>
              <w:right w:w="45" w:type="dxa"/>
            </w:tcMar>
            <w:vAlign w:val="center"/>
          </w:tcPr>
          <w:p w14:paraId="6DD59D3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（112）检查培训及维护记录</w:t>
            </w:r>
          </w:p>
        </w:tc>
        <w:tc>
          <w:tcPr>
            <w:tcW w:w="2543" w:type="dxa"/>
            <w:tcMar>
              <w:left w:w="45" w:type="dxa"/>
              <w:right w:w="45" w:type="dxa"/>
            </w:tcMar>
            <w:vAlign w:val="center"/>
          </w:tcPr>
          <w:p w14:paraId="14147A5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1BEB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98A6DE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b/>
                <w:bCs/>
                <w:color w:val="auto"/>
                <w:kern w:val="0"/>
                <w:szCs w:val="21"/>
              </w:rPr>
              <w:t>8.3</w:t>
            </w:r>
          </w:p>
        </w:tc>
        <w:tc>
          <w:tcPr>
            <w:tcW w:w="14023" w:type="dxa"/>
            <w:gridSpan w:val="3"/>
            <w:tcMar>
              <w:left w:w="45" w:type="dxa"/>
              <w:right w:w="45" w:type="dxa"/>
            </w:tcMar>
            <w:vAlign w:val="center"/>
          </w:tcPr>
          <w:p w14:paraId="59412E0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其他</w:t>
            </w:r>
          </w:p>
        </w:tc>
      </w:tr>
      <w:tr w14:paraId="6F533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C8640C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8.3.1</w:t>
            </w:r>
          </w:p>
        </w:tc>
        <w:tc>
          <w:tcPr>
            <w:tcW w:w="3703" w:type="dxa"/>
            <w:tcMar>
              <w:left w:w="45" w:type="dxa"/>
              <w:right w:w="45" w:type="dxa"/>
            </w:tcMar>
            <w:vAlign w:val="center"/>
          </w:tcPr>
          <w:p w14:paraId="7963DB9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危险性实验（如高温、高压、高速运转等）时必须有两人在场</w:t>
            </w:r>
          </w:p>
        </w:tc>
        <w:tc>
          <w:tcPr>
            <w:tcW w:w="7777" w:type="dxa"/>
            <w:tcMar>
              <w:left w:w="45" w:type="dxa"/>
              <w:right w:w="45" w:type="dxa"/>
            </w:tcMar>
            <w:vAlign w:val="center"/>
          </w:tcPr>
          <w:p w14:paraId="2C4DC7F8">
            <w:pPr>
              <w:pageBreakBefore w:val="0"/>
              <w:kinsoku/>
              <w:wordWrap/>
              <w:overflowPunct/>
              <w:topLinePunct w:val="0"/>
              <w:bidi w:val="0"/>
              <w:snapToGrid/>
              <w:spacing w:after="0"/>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（113）实验时不能脱岗，通宵实验须两人在场并有事先审批制度。改变关键参数的危险实验通过安全评估后，实验时须有实验室负责人或其指定的安全员在场</w:t>
            </w:r>
          </w:p>
        </w:tc>
        <w:tc>
          <w:tcPr>
            <w:tcW w:w="2543" w:type="dxa"/>
            <w:tcMar>
              <w:left w:w="45" w:type="dxa"/>
              <w:right w:w="45" w:type="dxa"/>
            </w:tcMar>
            <w:vAlign w:val="center"/>
          </w:tcPr>
          <w:p w14:paraId="0E8071B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0F0F7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AE516F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8.3.2</w:t>
            </w:r>
          </w:p>
        </w:tc>
        <w:tc>
          <w:tcPr>
            <w:tcW w:w="3703" w:type="dxa"/>
            <w:tcMar>
              <w:left w:w="45" w:type="dxa"/>
              <w:right w:w="45" w:type="dxa"/>
            </w:tcMar>
            <w:vAlign w:val="center"/>
          </w:tcPr>
          <w:p w14:paraId="7DB0310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实验台面整洁、实验记录规范</w:t>
            </w:r>
          </w:p>
        </w:tc>
        <w:tc>
          <w:tcPr>
            <w:tcW w:w="7777" w:type="dxa"/>
            <w:tcMar>
              <w:left w:w="45" w:type="dxa"/>
              <w:right w:w="45" w:type="dxa"/>
            </w:tcMar>
            <w:vAlign w:val="center"/>
          </w:tcPr>
          <w:p w14:paraId="2A07FEB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（114）查看实验台面和实验记录</w:t>
            </w:r>
          </w:p>
        </w:tc>
        <w:tc>
          <w:tcPr>
            <w:tcW w:w="2543" w:type="dxa"/>
            <w:tcMar>
              <w:left w:w="45" w:type="dxa"/>
              <w:right w:w="45" w:type="dxa"/>
            </w:tcMar>
            <w:vAlign w:val="center"/>
          </w:tcPr>
          <w:p w14:paraId="405C707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673B4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E958E5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9</w:t>
            </w:r>
          </w:p>
        </w:tc>
        <w:tc>
          <w:tcPr>
            <w:tcW w:w="14023" w:type="dxa"/>
            <w:gridSpan w:val="3"/>
            <w:tcMar>
              <w:left w:w="45" w:type="dxa"/>
              <w:right w:w="45" w:type="dxa"/>
            </w:tcMar>
            <w:vAlign w:val="center"/>
          </w:tcPr>
          <w:p w14:paraId="087E166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化学安全</w:t>
            </w:r>
          </w:p>
        </w:tc>
      </w:tr>
      <w:tr w14:paraId="564E2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E14BFB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b/>
                <w:bCs/>
                <w:color w:val="auto"/>
                <w:kern w:val="0"/>
                <w:szCs w:val="21"/>
              </w:rPr>
              <w:t>9.1</w:t>
            </w:r>
          </w:p>
        </w:tc>
        <w:tc>
          <w:tcPr>
            <w:tcW w:w="14023" w:type="dxa"/>
            <w:gridSpan w:val="3"/>
            <w:tcMar>
              <w:left w:w="45" w:type="dxa"/>
              <w:right w:w="45" w:type="dxa"/>
            </w:tcMar>
            <w:vAlign w:val="center"/>
          </w:tcPr>
          <w:p w14:paraId="353702B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危险化学品专用仓库</w:t>
            </w:r>
          </w:p>
        </w:tc>
      </w:tr>
      <w:tr w14:paraId="6516F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FCCC05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9.1.1</w:t>
            </w:r>
          </w:p>
        </w:tc>
        <w:tc>
          <w:tcPr>
            <w:tcW w:w="3703" w:type="dxa"/>
            <w:tcMar>
              <w:left w:w="45" w:type="dxa"/>
              <w:right w:w="45" w:type="dxa"/>
            </w:tcMar>
            <w:vAlign w:val="center"/>
          </w:tcPr>
          <w:p w14:paraId="084DEB4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危险化学品</w:t>
            </w:r>
            <w:r>
              <w:rPr>
                <w:rFonts w:hint="default" w:ascii="Times New Roman" w:hAnsi="Times New Roman" w:eastAsia="仿宋_GB2312" w:cs="Times New Roman"/>
                <w:b/>
                <w:color w:val="auto"/>
                <w:kern w:val="0"/>
                <w:szCs w:val="21"/>
              </w:rPr>
              <w:t>专用仓库</w:t>
            </w:r>
            <w:r>
              <w:rPr>
                <w:rFonts w:hint="default" w:ascii="Times New Roman" w:hAnsi="Times New Roman" w:eastAsia="仿宋_GB2312" w:cs="Times New Roman"/>
                <w:color w:val="auto"/>
                <w:kern w:val="0"/>
                <w:szCs w:val="21"/>
              </w:rPr>
              <w:t>应规范管理</w:t>
            </w:r>
          </w:p>
          <w:p w14:paraId="1205A485">
            <w:pPr>
              <w:pStyle w:val="2"/>
              <w:pageBreakBefore w:val="0"/>
              <w:kinsoku/>
              <w:wordWrap/>
              <w:overflowPunct/>
              <w:topLinePunct w:val="0"/>
              <w:bidi w:val="0"/>
              <w:snapToGrid/>
              <w:spacing w:after="0"/>
              <w:textAlignment w:val="auto"/>
              <w:rPr>
                <w:rFonts w:hint="default" w:ascii="Times New Roman" w:hAnsi="Times New Roman" w:eastAsia="仿宋_GB2312" w:cs="Times New Roman"/>
                <w:color w:val="auto"/>
              </w:rPr>
            </w:pPr>
          </w:p>
        </w:tc>
        <w:tc>
          <w:tcPr>
            <w:tcW w:w="7777" w:type="dxa"/>
            <w:tcMar>
              <w:left w:w="45" w:type="dxa"/>
              <w:right w:w="45" w:type="dxa"/>
            </w:tcMar>
            <w:vAlign w:val="center"/>
          </w:tcPr>
          <w:p w14:paraId="6F5FCDD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（115）危险化学品</w:t>
            </w:r>
            <w:r>
              <w:rPr>
                <w:rFonts w:hint="default" w:ascii="Times New Roman" w:hAnsi="Times New Roman" w:eastAsia="仿宋_GB2312" w:cs="Times New Roman"/>
                <w:b/>
                <w:color w:val="auto"/>
                <w:kern w:val="0"/>
                <w:szCs w:val="21"/>
              </w:rPr>
              <w:t>专用仓库</w:t>
            </w:r>
            <w:r>
              <w:rPr>
                <w:rFonts w:hint="default" w:ascii="Times New Roman" w:hAnsi="Times New Roman" w:eastAsia="仿宋_GB2312" w:cs="Times New Roman"/>
                <w:color w:val="auto"/>
                <w:kern w:val="0"/>
                <w:szCs w:val="21"/>
              </w:rPr>
              <w:t>须有通风、隔热、避光、防盗、防爆、防静电、泄漏报警、应急喷淋、安全警示标识等措施，符合相关规定，专人管理。</w:t>
            </w:r>
          </w:p>
          <w:p w14:paraId="215EC56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（116）危险化学品</w:t>
            </w:r>
            <w:r>
              <w:rPr>
                <w:rFonts w:hint="default" w:ascii="Times New Roman" w:hAnsi="Times New Roman" w:eastAsia="仿宋_GB2312" w:cs="Times New Roman"/>
                <w:b/>
                <w:color w:val="auto"/>
                <w:kern w:val="0"/>
                <w:szCs w:val="21"/>
              </w:rPr>
              <w:t>专用仓库</w:t>
            </w:r>
            <w:r>
              <w:rPr>
                <w:rFonts w:hint="default" w:ascii="Times New Roman" w:hAnsi="Times New Roman" w:eastAsia="仿宋_GB2312" w:cs="Times New Roman"/>
                <w:color w:val="auto"/>
                <w:kern w:val="0"/>
                <w:szCs w:val="21"/>
              </w:rPr>
              <w:t>的消防</w:t>
            </w:r>
            <w:r>
              <w:rPr>
                <w:rFonts w:hint="default" w:ascii="Times New Roman" w:hAnsi="Times New Roman" w:eastAsia="仿宋_GB2312" w:cs="Times New Roman"/>
                <w:color w:val="auto"/>
                <w:szCs w:val="21"/>
              </w:rPr>
              <w:t>设施符合国家相关规定，正确配备灭火器材（如灭火器、灭火毯、砂箱、自动喷淋等）。</w:t>
            </w:r>
          </w:p>
          <w:p w14:paraId="5D1EB7F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（117）</w:t>
            </w:r>
            <w:r>
              <w:rPr>
                <w:rFonts w:hint="default" w:ascii="Times New Roman" w:hAnsi="Times New Roman" w:eastAsia="仿宋_GB2312" w:cs="Times New Roman"/>
                <w:color w:val="auto"/>
                <w:kern w:val="0"/>
                <w:szCs w:val="21"/>
              </w:rPr>
              <w:t>危险化学品</w:t>
            </w:r>
            <w:r>
              <w:rPr>
                <w:rFonts w:hint="default" w:ascii="Times New Roman" w:hAnsi="Times New Roman" w:eastAsia="仿宋_GB2312" w:cs="Times New Roman"/>
                <w:b/>
                <w:color w:val="auto"/>
                <w:kern w:val="0"/>
                <w:szCs w:val="21"/>
              </w:rPr>
              <w:t>专用仓库</w:t>
            </w:r>
            <w:r>
              <w:rPr>
                <w:rFonts w:hint="default" w:ascii="Times New Roman" w:hAnsi="Times New Roman" w:eastAsia="仿宋_GB2312" w:cs="Times New Roman"/>
                <w:color w:val="auto"/>
                <w:kern w:val="0"/>
                <w:szCs w:val="21"/>
              </w:rPr>
              <w:t>不能建设在地下或半地下，不得建设在实验楼内。若只能在实验楼内存放，则应按照实验室的标准要求管理（见“9.3实验室化学品的存放”）。</w:t>
            </w:r>
          </w:p>
          <w:p w14:paraId="40E1BB3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（118）危险化学品</w:t>
            </w:r>
            <w:r>
              <w:rPr>
                <w:rFonts w:hint="default" w:ascii="Times New Roman" w:hAnsi="Times New Roman" w:eastAsia="仿宋_GB2312" w:cs="Times New Roman"/>
                <w:b/>
                <w:color w:val="auto"/>
                <w:kern w:val="0"/>
                <w:szCs w:val="21"/>
              </w:rPr>
              <w:t>专用仓库</w:t>
            </w:r>
            <w:r>
              <w:rPr>
                <w:rFonts w:hint="default" w:ascii="Times New Roman" w:hAnsi="Times New Roman" w:eastAsia="仿宋_GB2312" w:cs="Times New Roman"/>
                <w:color w:val="auto"/>
                <w:kern w:val="0"/>
                <w:szCs w:val="21"/>
              </w:rPr>
              <w:t>的试剂不混放，整箱试剂的叠加高度不大于1.5m</w:t>
            </w:r>
          </w:p>
        </w:tc>
        <w:tc>
          <w:tcPr>
            <w:tcW w:w="2543" w:type="dxa"/>
            <w:tcMar>
              <w:left w:w="45" w:type="dxa"/>
              <w:right w:w="45" w:type="dxa"/>
            </w:tcMar>
            <w:vAlign w:val="center"/>
          </w:tcPr>
          <w:p w14:paraId="25E33C4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2B696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04D495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9.2</w:t>
            </w:r>
          </w:p>
        </w:tc>
        <w:tc>
          <w:tcPr>
            <w:tcW w:w="14023" w:type="dxa"/>
            <w:gridSpan w:val="3"/>
            <w:tcMar>
              <w:left w:w="45" w:type="dxa"/>
              <w:right w:w="45" w:type="dxa"/>
            </w:tcMar>
            <w:vAlign w:val="center"/>
          </w:tcPr>
          <w:p w14:paraId="76CCA01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危险化学品购置</w:t>
            </w:r>
          </w:p>
        </w:tc>
      </w:tr>
      <w:tr w14:paraId="4E5CE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605DFE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9.2.1</w:t>
            </w:r>
          </w:p>
        </w:tc>
        <w:tc>
          <w:tcPr>
            <w:tcW w:w="3703" w:type="dxa"/>
            <w:tcMar>
              <w:left w:w="45" w:type="dxa"/>
              <w:right w:w="45" w:type="dxa"/>
            </w:tcMar>
            <w:vAlign w:val="center"/>
          </w:tcPr>
          <w:p w14:paraId="069700DA">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危险化学品采购须符合要求</w:t>
            </w:r>
          </w:p>
        </w:tc>
        <w:tc>
          <w:tcPr>
            <w:tcW w:w="7777" w:type="dxa"/>
            <w:tcMar>
              <w:left w:w="45" w:type="dxa"/>
              <w:right w:w="45" w:type="dxa"/>
            </w:tcMar>
            <w:vAlign w:val="center"/>
          </w:tcPr>
          <w:p w14:paraId="4C332C76">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119）危险化学品须向具有生产经营许可资质的单位购买，查看相关供应商的经营许可资质证书复印件，要求提供化学品安全技术说明书。进口危险化学品应当向国务院安全生产监督管理部门负责危险化学品登记的机构办理危险化学品登记</w:t>
            </w:r>
          </w:p>
        </w:tc>
        <w:tc>
          <w:tcPr>
            <w:tcW w:w="2543" w:type="dxa"/>
            <w:tcMar>
              <w:left w:w="45" w:type="dxa"/>
              <w:right w:w="45" w:type="dxa"/>
            </w:tcMar>
            <w:vAlign w:val="center"/>
          </w:tcPr>
          <w:p w14:paraId="5757FF23">
            <w:pPr>
              <w:pageBreakBefore w:val="0"/>
              <w:kinsoku/>
              <w:wordWrap/>
              <w:overflowPunct/>
              <w:topLinePunct w:val="0"/>
              <w:bidi w:val="0"/>
              <w:snapToGrid/>
              <w:spacing w:after="0" w:line="360" w:lineRule="auto"/>
              <w:textAlignment w:val="auto"/>
              <w:rPr>
                <w:rFonts w:hint="default" w:ascii="Times New Roman" w:hAnsi="Times New Roman" w:eastAsia="仿宋_GB2312" w:cs="Times New Roman"/>
                <w:color w:val="auto"/>
                <w:szCs w:val="21"/>
              </w:rPr>
            </w:pPr>
          </w:p>
        </w:tc>
      </w:tr>
      <w:tr w14:paraId="70615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2F2777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9.2.2</w:t>
            </w:r>
          </w:p>
        </w:tc>
        <w:tc>
          <w:tcPr>
            <w:tcW w:w="3703" w:type="dxa"/>
            <w:tcMar>
              <w:left w:w="45" w:type="dxa"/>
              <w:right w:w="45" w:type="dxa"/>
            </w:tcMar>
            <w:vAlign w:val="center"/>
          </w:tcPr>
          <w:p w14:paraId="7E3F0CB0">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剧毒品、易制爆品、易制毒品、爆炸品的购买程序合规</w:t>
            </w:r>
          </w:p>
        </w:tc>
        <w:tc>
          <w:tcPr>
            <w:tcW w:w="7777" w:type="dxa"/>
            <w:tcMar>
              <w:left w:w="45" w:type="dxa"/>
              <w:right w:w="45" w:type="dxa"/>
            </w:tcMar>
            <w:vAlign w:val="center"/>
          </w:tcPr>
          <w:p w14:paraId="6A46B1BC">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（120）购买前须经学校审批，报公安机关批准或备案后，向具有经营许可资质的单位购买，并保留报批及审批记录。</w:t>
            </w:r>
          </w:p>
          <w:p w14:paraId="46D1FD08">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（121）建立购买、验收、使用等台账资料。</w:t>
            </w:r>
          </w:p>
          <w:p w14:paraId="6CFBD24F">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color w:val="auto"/>
                <w:kern w:val="0"/>
                <w:szCs w:val="21"/>
              </w:rPr>
              <w:t>（122）不得私自从外单位获取管制类化学品，也不得给外单位或个人提供管制化学品</w:t>
            </w:r>
          </w:p>
        </w:tc>
        <w:tc>
          <w:tcPr>
            <w:tcW w:w="2543" w:type="dxa"/>
            <w:tcMar>
              <w:left w:w="45" w:type="dxa"/>
              <w:right w:w="45" w:type="dxa"/>
            </w:tcMar>
            <w:vAlign w:val="center"/>
          </w:tcPr>
          <w:p w14:paraId="121D598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78D57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985F9F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9.2.3</w:t>
            </w:r>
          </w:p>
        </w:tc>
        <w:tc>
          <w:tcPr>
            <w:tcW w:w="3703" w:type="dxa"/>
            <w:tcMar>
              <w:left w:w="45" w:type="dxa"/>
              <w:right w:w="45" w:type="dxa"/>
            </w:tcMar>
            <w:vAlign w:val="center"/>
          </w:tcPr>
          <w:p w14:paraId="73B5C0CB">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麻醉药品、精神药品等购买前须向食品药品监督管理部门申请</w:t>
            </w:r>
          </w:p>
        </w:tc>
        <w:tc>
          <w:tcPr>
            <w:tcW w:w="7777" w:type="dxa"/>
            <w:tcMar>
              <w:left w:w="45" w:type="dxa"/>
              <w:right w:w="45" w:type="dxa"/>
            </w:tcMar>
            <w:vAlign w:val="center"/>
          </w:tcPr>
          <w:p w14:paraId="589E1330">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color w:val="auto"/>
                <w:kern w:val="0"/>
                <w:szCs w:val="21"/>
              </w:rPr>
              <w:t>（123）报批同意后向定点供应商或者定点生产企业采购</w:t>
            </w:r>
          </w:p>
        </w:tc>
        <w:tc>
          <w:tcPr>
            <w:tcW w:w="2543" w:type="dxa"/>
            <w:tcMar>
              <w:left w:w="45" w:type="dxa"/>
              <w:right w:w="45" w:type="dxa"/>
            </w:tcMar>
            <w:vAlign w:val="center"/>
          </w:tcPr>
          <w:p w14:paraId="35A0005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8D4D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831086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9.2.4</w:t>
            </w:r>
          </w:p>
        </w:tc>
        <w:tc>
          <w:tcPr>
            <w:tcW w:w="3703" w:type="dxa"/>
            <w:tcMar>
              <w:left w:w="45" w:type="dxa"/>
              <w:right w:w="45" w:type="dxa"/>
            </w:tcMar>
            <w:vAlign w:val="center"/>
          </w:tcPr>
          <w:p w14:paraId="40CD6163">
            <w:pPr>
              <w:pageBreakBefore w:val="0"/>
              <w:kinsoku/>
              <w:wordWrap/>
              <w:overflowPunct/>
              <w:topLinePunct w:val="0"/>
              <w:autoSpaceDE w:val="0"/>
              <w:autoSpaceDN w:val="0"/>
              <w:bidi w:val="0"/>
              <w:adjustRightInd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校内危险化学品的运输安全</w:t>
            </w:r>
          </w:p>
        </w:tc>
        <w:tc>
          <w:tcPr>
            <w:tcW w:w="7777" w:type="dxa"/>
            <w:tcMar>
              <w:left w:w="45" w:type="dxa"/>
              <w:right w:w="45" w:type="dxa"/>
            </w:tcMar>
            <w:vAlign w:val="center"/>
          </w:tcPr>
          <w:p w14:paraId="21A5826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（124）现场抽查，校园内的运输车辆、运送人员、送货方式等符合相关规范</w:t>
            </w:r>
          </w:p>
        </w:tc>
        <w:tc>
          <w:tcPr>
            <w:tcW w:w="2543" w:type="dxa"/>
            <w:tcMar>
              <w:left w:w="45" w:type="dxa"/>
              <w:right w:w="45" w:type="dxa"/>
            </w:tcMar>
            <w:vAlign w:val="center"/>
          </w:tcPr>
          <w:p w14:paraId="128192A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0380D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2B1DA9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9.3</w:t>
            </w:r>
          </w:p>
        </w:tc>
        <w:tc>
          <w:tcPr>
            <w:tcW w:w="14023" w:type="dxa"/>
            <w:gridSpan w:val="3"/>
            <w:tcMar>
              <w:left w:w="45" w:type="dxa"/>
              <w:right w:w="45" w:type="dxa"/>
            </w:tcMar>
            <w:vAlign w:val="center"/>
          </w:tcPr>
          <w:p w14:paraId="797F965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实验室化学品存放</w:t>
            </w:r>
          </w:p>
        </w:tc>
      </w:tr>
      <w:tr w14:paraId="2D7BE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AE011A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9.3.1</w:t>
            </w:r>
          </w:p>
        </w:tc>
        <w:tc>
          <w:tcPr>
            <w:tcW w:w="3703" w:type="dxa"/>
            <w:tcMar>
              <w:left w:w="45" w:type="dxa"/>
              <w:right w:w="45" w:type="dxa"/>
            </w:tcMar>
            <w:vAlign w:val="center"/>
          </w:tcPr>
          <w:p w14:paraId="495AA51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color w:val="auto"/>
                <w:kern w:val="0"/>
                <w:szCs w:val="21"/>
              </w:rPr>
              <w:t>实验室内危险化学品建有动态台账</w:t>
            </w:r>
          </w:p>
        </w:tc>
        <w:tc>
          <w:tcPr>
            <w:tcW w:w="7777" w:type="dxa"/>
            <w:tcMar>
              <w:left w:w="45" w:type="dxa"/>
              <w:right w:w="45" w:type="dxa"/>
            </w:tcMar>
            <w:vAlign w:val="center"/>
          </w:tcPr>
          <w:p w14:paraId="2A6140E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（125）建立实验室危险化学品动态台账，并有危险化学品安全技术说明书（SDS）或安全周知卡，方便查阅。</w:t>
            </w:r>
          </w:p>
          <w:p w14:paraId="3243869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（126）定期清理废旧试剂，无累积现象</w:t>
            </w:r>
          </w:p>
        </w:tc>
        <w:tc>
          <w:tcPr>
            <w:tcW w:w="2543" w:type="dxa"/>
            <w:tcMar>
              <w:left w:w="45" w:type="dxa"/>
              <w:right w:w="45" w:type="dxa"/>
            </w:tcMar>
            <w:vAlign w:val="center"/>
          </w:tcPr>
          <w:p w14:paraId="15F45798">
            <w:pPr>
              <w:pageBreakBefore w:val="0"/>
              <w:kinsoku/>
              <w:wordWrap/>
              <w:overflowPunct/>
              <w:topLinePunct w:val="0"/>
              <w:bidi w:val="0"/>
              <w:snapToGrid/>
              <w:spacing w:after="0" w:line="360" w:lineRule="auto"/>
              <w:textAlignment w:val="auto"/>
              <w:rPr>
                <w:rFonts w:hint="default" w:ascii="Times New Roman" w:hAnsi="Times New Roman" w:eastAsia="仿宋_GB2312" w:cs="Times New Roman"/>
                <w:color w:val="auto"/>
                <w:szCs w:val="21"/>
              </w:rPr>
            </w:pPr>
          </w:p>
        </w:tc>
      </w:tr>
      <w:tr w14:paraId="2CBE1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0DB68B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9.3.2</w:t>
            </w:r>
          </w:p>
        </w:tc>
        <w:tc>
          <w:tcPr>
            <w:tcW w:w="3703" w:type="dxa"/>
            <w:tcMar>
              <w:left w:w="45" w:type="dxa"/>
              <w:right w:w="45" w:type="dxa"/>
            </w:tcMar>
            <w:vAlign w:val="center"/>
          </w:tcPr>
          <w:p w14:paraId="4A08606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化学品有专用存放空间并科学有序存放</w:t>
            </w:r>
          </w:p>
        </w:tc>
        <w:tc>
          <w:tcPr>
            <w:tcW w:w="7777" w:type="dxa"/>
            <w:tcMar>
              <w:left w:w="45" w:type="dxa"/>
              <w:right w:w="45" w:type="dxa"/>
            </w:tcMar>
            <w:vAlign w:val="center"/>
          </w:tcPr>
          <w:p w14:paraId="0893ADFB">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rPr>
              <w:t>（127）</w:t>
            </w:r>
            <w:r>
              <w:rPr>
                <w:rFonts w:hint="default" w:ascii="Times New Roman" w:hAnsi="Times New Roman" w:eastAsia="仿宋_GB2312" w:cs="Times New Roman"/>
                <w:b/>
                <w:bCs/>
                <w:color w:val="auto"/>
              </w:rPr>
              <w:t>危险化学品应当储存在专用储存室或储存专柜内，并由专人负责管理</w:t>
            </w:r>
            <w:r>
              <w:rPr>
                <w:rFonts w:hint="default" w:ascii="Times New Roman" w:hAnsi="Times New Roman" w:eastAsia="仿宋_GB2312" w:cs="Times New Roman"/>
                <w:b/>
                <w:bCs/>
                <w:color w:val="auto"/>
                <w:kern w:val="0"/>
              </w:rPr>
              <w:t>。</w:t>
            </w:r>
          </w:p>
          <w:p w14:paraId="52FBE694">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rPr>
              <w:t>（128）</w:t>
            </w:r>
            <w:r>
              <w:rPr>
                <w:rFonts w:hint="default" w:ascii="Times New Roman" w:hAnsi="Times New Roman" w:eastAsia="仿宋_GB2312" w:cs="Times New Roman"/>
                <w:color w:val="auto"/>
              </w:rPr>
              <w:t>储藏室、储藏区、储存柜等</w:t>
            </w:r>
            <w:r>
              <w:rPr>
                <w:rFonts w:hint="default" w:ascii="Times New Roman" w:hAnsi="Times New Roman" w:eastAsia="仿宋_GB2312" w:cs="Times New Roman"/>
                <w:bCs/>
                <w:color w:val="auto"/>
                <w:kern w:val="0"/>
              </w:rPr>
              <w:t>应</w:t>
            </w:r>
            <w:r>
              <w:rPr>
                <w:rFonts w:hint="default" w:ascii="Times New Roman" w:hAnsi="Times New Roman" w:eastAsia="仿宋_GB2312" w:cs="Times New Roman"/>
                <w:color w:val="auto"/>
                <w:kern w:val="0"/>
              </w:rPr>
              <w:t>通风、隔热、避免阳光直射，易泄漏、易挥发的试剂存放设备与地点应保证充足的通风。</w:t>
            </w:r>
          </w:p>
          <w:p w14:paraId="661298F4">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rPr>
              <w:t>（129）试剂柜中不能有电源插座或接线板。</w:t>
            </w:r>
          </w:p>
          <w:p w14:paraId="070212A5">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rPr>
              <w:t>（130）化学品有序分类存放，固体、液体不混乱放置，互为禁忌的化学品不得混放，试剂不得叠放。有机溶剂储存区应远离热源和火源。装有试剂的试剂瓶不得开口放置。实验台架无挡板不得存放化学试剂。</w:t>
            </w:r>
          </w:p>
          <w:p w14:paraId="6B5239B5">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rPr>
              <w:t>（131）配备必要的二次泄漏防护、吸附或防溢流功能</w:t>
            </w:r>
          </w:p>
        </w:tc>
        <w:tc>
          <w:tcPr>
            <w:tcW w:w="2543" w:type="dxa"/>
            <w:tcMar>
              <w:left w:w="45" w:type="dxa"/>
              <w:right w:w="45" w:type="dxa"/>
            </w:tcMar>
            <w:vAlign w:val="center"/>
          </w:tcPr>
          <w:p w14:paraId="3027843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74D0F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E47419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9.3.3</w:t>
            </w:r>
          </w:p>
        </w:tc>
        <w:tc>
          <w:tcPr>
            <w:tcW w:w="3703" w:type="dxa"/>
            <w:tcMar>
              <w:left w:w="45" w:type="dxa"/>
              <w:right w:w="45" w:type="dxa"/>
            </w:tcMar>
            <w:vAlign w:val="center"/>
          </w:tcPr>
          <w:p w14:paraId="412DF1B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实验室内存放的危险化学品总量符合规定要求</w:t>
            </w:r>
          </w:p>
        </w:tc>
        <w:tc>
          <w:tcPr>
            <w:tcW w:w="7777" w:type="dxa"/>
            <w:tcMar>
              <w:left w:w="45" w:type="dxa"/>
              <w:right w:w="45" w:type="dxa"/>
            </w:tcMar>
            <w:vAlign w:val="center"/>
          </w:tcPr>
          <w:p w14:paraId="1D5E450F">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szCs w:val="21"/>
              </w:rPr>
              <w:t>（132）</w:t>
            </w:r>
            <w:r>
              <w:rPr>
                <w:rFonts w:hint="default" w:ascii="Times New Roman" w:hAnsi="Times New Roman" w:eastAsia="仿宋_GB2312" w:cs="Times New Roman"/>
                <w:b/>
                <w:bCs/>
                <w:color w:val="auto"/>
                <w:kern w:val="0"/>
                <w:szCs w:val="21"/>
              </w:rPr>
              <w:t>同一防火单元内，危险化学品（不含压缩气体和液化气体）原则上不应超过100L或100Kg，其中易燃易爆性化学品的存放总量不应超过50L或50Kg，且单一包装容器不应大于25L或25Kg</w:t>
            </w:r>
            <w:r>
              <w:rPr>
                <w:rFonts w:hint="default" w:ascii="Times New Roman" w:hAnsi="Times New Roman" w:eastAsia="仿宋_GB2312" w:cs="Times New Roman"/>
                <w:color w:val="auto"/>
                <w:kern w:val="0"/>
              </w:rPr>
              <w:t>。</w:t>
            </w:r>
          </w:p>
          <w:p w14:paraId="12672278">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rPr>
              <w:t>（133）常年大量使用易燃易爆溶剂或气体须加装泄漏报警器，储存部位应加装常时排风或与检测报警联动排风装置</w:t>
            </w:r>
          </w:p>
        </w:tc>
        <w:tc>
          <w:tcPr>
            <w:tcW w:w="2543" w:type="dxa"/>
            <w:tcMar>
              <w:left w:w="45" w:type="dxa"/>
              <w:right w:w="45" w:type="dxa"/>
            </w:tcMar>
            <w:vAlign w:val="center"/>
          </w:tcPr>
          <w:p w14:paraId="0AF7606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5E4B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523948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9.3.4</w:t>
            </w:r>
          </w:p>
        </w:tc>
        <w:tc>
          <w:tcPr>
            <w:tcW w:w="3703" w:type="dxa"/>
            <w:tcMar>
              <w:left w:w="45" w:type="dxa"/>
              <w:right w:w="45" w:type="dxa"/>
            </w:tcMar>
            <w:vAlign w:val="center"/>
          </w:tcPr>
          <w:p w14:paraId="374B5AD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化学品标签应显著、完整、清晰</w:t>
            </w:r>
          </w:p>
        </w:tc>
        <w:tc>
          <w:tcPr>
            <w:tcW w:w="7777" w:type="dxa"/>
            <w:tcMar>
              <w:left w:w="45" w:type="dxa"/>
              <w:right w:w="45" w:type="dxa"/>
            </w:tcMar>
            <w:vAlign w:val="center"/>
          </w:tcPr>
          <w:p w14:paraId="50E1373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（134）化学品包装物上须有符合规定的化学品标签。</w:t>
            </w:r>
          </w:p>
          <w:p w14:paraId="289A6E7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（135）当化学品由原包装物转移或分装到其他包装物内时，转移或分装后的包装物应及时重新粘贴标识。化学品标签脱落、</w:t>
            </w:r>
            <w:r>
              <w:rPr>
                <w:rFonts w:hint="default" w:ascii="Times New Roman" w:hAnsi="Times New Roman" w:eastAsia="仿宋_GB2312" w:cs="Times New Roman"/>
                <w:bCs/>
                <w:color w:val="auto"/>
                <w:kern w:val="0"/>
                <w:szCs w:val="21"/>
              </w:rPr>
              <w:t>模糊、腐蚀</w:t>
            </w:r>
            <w:r>
              <w:rPr>
                <w:rFonts w:hint="default" w:ascii="Times New Roman" w:hAnsi="Times New Roman" w:eastAsia="仿宋_GB2312" w:cs="Times New Roman"/>
                <w:color w:val="auto"/>
                <w:kern w:val="0"/>
                <w:szCs w:val="21"/>
              </w:rPr>
              <w:t>后应及时补上，如不能确认，则按不明废弃化学品处置</w:t>
            </w:r>
          </w:p>
        </w:tc>
        <w:tc>
          <w:tcPr>
            <w:tcW w:w="2543" w:type="dxa"/>
            <w:tcMar>
              <w:left w:w="45" w:type="dxa"/>
              <w:right w:w="45" w:type="dxa"/>
            </w:tcMar>
            <w:vAlign w:val="center"/>
          </w:tcPr>
          <w:p w14:paraId="15F0CC5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03FE8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C22EE5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9.3.5</w:t>
            </w:r>
          </w:p>
        </w:tc>
        <w:tc>
          <w:tcPr>
            <w:tcW w:w="3703" w:type="dxa"/>
            <w:tcMar>
              <w:left w:w="45" w:type="dxa"/>
              <w:right w:w="45" w:type="dxa"/>
            </w:tcMar>
            <w:vAlign w:val="center"/>
          </w:tcPr>
          <w:p w14:paraId="23A2304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bCs/>
                <w:color w:val="auto"/>
                <w:kern w:val="0"/>
                <w:szCs w:val="21"/>
              </w:rPr>
              <w:t>其他存放要求</w:t>
            </w:r>
          </w:p>
        </w:tc>
        <w:tc>
          <w:tcPr>
            <w:tcW w:w="7777" w:type="dxa"/>
            <w:tcMar>
              <w:left w:w="45" w:type="dxa"/>
              <w:right w:w="45" w:type="dxa"/>
            </w:tcMar>
            <w:vAlign w:val="center"/>
          </w:tcPr>
          <w:p w14:paraId="78BF135C">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rPr>
              <w:t>（136）装有配制试剂、合成品、样品等的容器上标签信息明确，标签信息包括名称或编号、使用人、日期等。</w:t>
            </w:r>
          </w:p>
          <w:p w14:paraId="31EC5588">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rPr>
              <w:t>（137）无使用饮料瓶存放试剂、样品的现象，如确需使用，必须撕去原包装纸，并贴试剂标签。</w:t>
            </w:r>
          </w:p>
          <w:p w14:paraId="143FEA68">
            <w:pPr>
              <w:pageBreakBefore w:val="0"/>
              <w:widowControl/>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（138）</w:t>
            </w:r>
            <w:r>
              <w:rPr>
                <w:rFonts w:hint="default" w:ascii="Times New Roman" w:hAnsi="Times New Roman" w:eastAsia="仿宋_GB2312" w:cs="Times New Roman"/>
                <w:color w:val="auto"/>
                <w:kern w:val="0"/>
                <w:szCs w:val="21"/>
              </w:rPr>
              <w:t>不使用破损量筒、试管、移液管等玻璃器皿</w:t>
            </w:r>
          </w:p>
        </w:tc>
        <w:tc>
          <w:tcPr>
            <w:tcW w:w="2543" w:type="dxa"/>
            <w:tcMar>
              <w:left w:w="45" w:type="dxa"/>
              <w:right w:w="45" w:type="dxa"/>
            </w:tcMar>
            <w:vAlign w:val="center"/>
          </w:tcPr>
          <w:p w14:paraId="75E238E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ECE8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B85B07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9.4</w:t>
            </w:r>
          </w:p>
        </w:tc>
        <w:tc>
          <w:tcPr>
            <w:tcW w:w="14023" w:type="dxa"/>
            <w:gridSpan w:val="3"/>
            <w:tcMar>
              <w:left w:w="45" w:type="dxa"/>
              <w:right w:w="45" w:type="dxa"/>
            </w:tcMar>
            <w:vAlign w:val="center"/>
          </w:tcPr>
          <w:p w14:paraId="3986E9A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实验操作安全</w:t>
            </w:r>
          </w:p>
        </w:tc>
      </w:tr>
      <w:tr w14:paraId="50091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7C47C6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9.4.1</w:t>
            </w:r>
          </w:p>
        </w:tc>
        <w:tc>
          <w:tcPr>
            <w:tcW w:w="3703" w:type="dxa"/>
            <w:tcMar>
              <w:left w:w="45" w:type="dxa"/>
              <w:right w:w="45" w:type="dxa"/>
            </w:tcMar>
            <w:vAlign w:val="center"/>
          </w:tcPr>
          <w:p w14:paraId="71BA932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制定危险实验、危险化工工艺指导书、各类标准操作规程（SOP）、应急预案</w:t>
            </w:r>
          </w:p>
        </w:tc>
        <w:tc>
          <w:tcPr>
            <w:tcW w:w="7777" w:type="dxa"/>
            <w:tcMar>
              <w:left w:w="45" w:type="dxa"/>
              <w:right w:w="45" w:type="dxa"/>
            </w:tcMar>
            <w:vAlign w:val="center"/>
          </w:tcPr>
          <w:p w14:paraId="02FC40E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（139）危险化工工艺指导书和应急预案上墙或便于取阅，实验人员熟悉所涉及的危险性及应急处理措施，按照危险化工工艺指导书进行实验</w:t>
            </w:r>
          </w:p>
        </w:tc>
        <w:tc>
          <w:tcPr>
            <w:tcW w:w="2543" w:type="dxa"/>
            <w:tcMar>
              <w:left w:w="45" w:type="dxa"/>
              <w:right w:w="45" w:type="dxa"/>
            </w:tcMar>
            <w:vAlign w:val="center"/>
          </w:tcPr>
          <w:p w14:paraId="3E0CFF2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6F918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EC4BB7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9.4.2</w:t>
            </w:r>
          </w:p>
        </w:tc>
        <w:tc>
          <w:tcPr>
            <w:tcW w:w="3703" w:type="dxa"/>
            <w:tcMar>
              <w:left w:w="45" w:type="dxa"/>
              <w:right w:w="45" w:type="dxa"/>
            </w:tcMar>
            <w:vAlign w:val="center"/>
          </w:tcPr>
          <w:p w14:paraId="299B7BA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特别关注危险化学工艺和装置</w:t>
            </w:r>
          </w:p>
        </w:tc>
        <w:tc>
          <w:tcPr>
            <w:tcW w:w="7777" w:type="dxa"/>
            <w:tcMar>
              <w:left w:w="45" w:type="dxa"/>
              <w:right w:w="45" w:type="dxa"/>
            </w:tcMar>
            <w:vAlign w:val="center"/>
          </w:tcPr>
          <w:p w14:paraId="709D155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（140）</w:t>
            </w:r>
            <w:r>
              <w:rPr>
                <w:rFonts w:hint="default" w:ascii="Times New Roman" w:hAnsi="Times New Roman" w:eastAsia="仿宋_GB2312" w:cs="Times New Roman"/>
                <w:b/>
                <w:bCs/>
                <w:color w:val="auto"/>
                <w:kern w:val="0"/>
                <w:szCs w:val="21"/>
              </w:rPr>
              <w:t>涉及危险化工工艺、重点监管危险化学品的反应装置应设置自动化控制系统，锂电池研究区域应远离其他可燃物品。</w:t>
            </w:r>
          </w:p>
          <w:p w14:paraId="389955E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（141）涉及放热反应的危险化工工艺生产装置应设置双重电源供电或控制系统应配置不间断电源</w:t>
            </w:r>
          </w:p>
        </w:tc>
        <w:tc>
          <w:tcPr>
            <w:tcW w:w="2543" w:type="dxa"/>
            <w:tcMar>
              <w:left w:w="45" w:type="dxa"/>
              <w:right w:w="45" w:type="dxa"/>
            </w:tcMar>
            <w:vAlign w:val="center"/>
          </w:tcPr>
          <w:p w14:paraId="07E17A3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0CC72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85344F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9.4.3</w:t>
            </w:r>
          </w:p>
        </w:tc>
        <w:tc>
          <w:tcPr>
            <w:tcW w:w="3703" w:type="dxa"/>
            <w:tcMar>
              <w:left w:w="45" w:type="dxa"/>
              <w:right w:w="45" w:type="dxa"/>
            </w:tcMar>
            <w:vAlign w:val="center"/>
          </w:tcPr>
          <w:p w14:paraId="1F4E176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做好有毒有害废气的处理和防护</w:t>
            </w:r>
          </w:p>
        </w:tc>
        <w:tc>
          <w:tcPr>
            <w:tcW w:w="7777" w:type="dxa"/>
            <w:tcMar>
              <w:left w:w="45" w:type="dxa"/>
              <w:right w:w="45" w:type="dxa"/>
            </w:tcMar>
            <w:vAlign w:val="center"/>
          </w:tcPr>
          <w:p w14:paraId="7067407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（142）对于产生有毒有害废气的实验，须在通风柜中进行，并在实验装置尾端配有气体吸收装置，操作者佩戴合适有效的呼吸防护用具</w:t>
            </w:r>
          </w:p>
        </w:tc>
        <w:tc>
          <w:tcPr>
            <w:tcW w:w="2543" w:type="dxa"/>
            <w:tcMar>
              <w:left w:w="45" w:type="dxa"/>
              <w:right w:w="45" w:type="dxa"/>
            </w:tcMar>
            <w:vAlign w:val="center"/>
          </w:tcPr>
          <w:p w14:paraId="404EC66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r>
      <w:tr w14:paraId="2EA99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2DDA4D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9.5</w:t>
            </w:r>
          </w:p>
        </w:tc>
        <w:tc>
          <w:tcPr>
            <w:tcW w:w="14023" w:type="dxa"/>
            <w:gridSpan w:val="3"/>
            <w:tcMar>
              <w:left w:w="45" w:type="dxa"/>
              <w:right w:w="45" w:type="dxa"/>
            </w:tcMar>
            <w:vAlign w:val="center"/>
          </w:tcPr>
          <w:p w14:paraId="1667A62B">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b/>
                <w:color w:val="auto"/>
                <w:szCs w:val="21"/>
              </w:rPr>
            </w:pPr>
            <w:r>
              <w:rPr>
                <w:rFonts w:hint="default" w:ascii="Times New Roman" w:hAnsi="Times New Roman" w:eastAsia="仿宋_GB2312" w:cs="Times New Roman"/>
                <w:b/>
                <w:color w:val="auto"/>
                <w:kern w:val="0"/>
                <w:szCs w:val="21"/>
              </w:rPr>
              <w:t>管制类化学品管理</w:t>
            </w:r>
          </w:p>
        </w:tc>
      </w:tr>
      <w:tr w14:paraId="7BEA7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E8B679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9.5.1</w:t>
            </w:r>
          </w:p>
        </w:tc>
        <w:tc>
          <w:tcPr>
            <w:tcW w:w="3703" w:type="dxa"/>
            <w:tcMar>
              <w:left w:w="45" w:type="dxa"/>
              <w:right w:w="45" w:type="dxa"/>
            </w:tcMar>
            <w:vAlign w:val="center"/>
          </w:tcPr>
          <w:p w14:paraId="6F35D0B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剧毒化学品应当单独存放, 实行双人收发、 双人保管制度，技防措施符合管制要求</w:t>
            </w:r>
          </w:p>
          <w:p w14:paraId="7BD2E5E6">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c>
          <w:tcPr>
            <w:tcW w:w="7777" w:type="dxa"/>
            <w:tcMar>
              <w:left w:w="45" w:type="dxa"/>
              <w:right w:w="45" w:type="dxa"/>
            </w:tcMar>
            <w:vAlign w:val="center"/>
          </w:tcPr>
          <w:p w14:paraId="4804E5D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（143）单独存放，不得与易燃、易爆、腐蚀性物品等一起存放。</w:t>
            </w:r>
          </w:p>
          <w:p w14:paraId="01896B0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（144）有专人管理并做好贮存、领取、发放情况登记，登记资料至少保存3年。</w:t>
            </w:r>
          </w:p>
          <w:p w14:paraId="7EFD4AB5">
            <w:pPr>
              <w:pageBreakBefore w:val="0"/>
              <w:kinsoku/>
              <w:wordWrap/>
              <w:overflowPunct/>
              <w:topLinePunct w:val="0"/>
              <w:bidi w:val="0"/>
              <w:snapToGrid/>
              <w:spacing w:after="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kern w:val="0"/>
                <w:szCs w:val="21"/>
              </w:rPr>
              <w:t>（145）防盗安全门应符合GB 17565《防盗安全门通用技术条件》的要求，防盗安全级别为3级（含）以上，防盗锁应符合GA/T 73《机械防盗锁》的要求，防盗保险柜应符合GB 10409《防盗保险柜》的要求，监控管控执行公安部门的要求</w:t>
            </w:r>
          </w:p>
        </w:tc>
        <w:tc>
          <w:tcPr>
            <w:tcW w:w="2543" w:type="dxa"/>
            <w:tcMar>
              <w:left w:w="45" w:type="dxa"/>
              <w:right w:w="45" w:type="dxa"/>
            </w:tcMar>
            <w:vAlign w:val="center"/>
          </w:tcPr>
          <w:p w14:paraId="5CF9EBD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p>
        </w:tc>
      </w:tr>
      <w:tr w14:paraId="7D8D1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F51F91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9.5.2</w:t>
            </w:r>
          </w:p>
        </w:tc>
        <w:tc>
          <w:tcPr>
            <w:tcW w:w="3703" w:type="dxa"/>
            <w:tcMar>
              <w:left w:w="45" w:type="dxa"/>
              <w:right w:w="45" w:type="dxa"/>
            </w:tcMar>
            <w:vAlign w:val="center"/>
          </w:tcPr>
          <w:p w14:paraId="498E5391">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易制毒化学品储存规范，台账清晰</w:t>
            </w:r>
          </w:p>
          <w:p w14:paraId="6735976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c>
          <w:tcPr>
            <w:tcW w:w="7777" w:type="dxa"/>
            <w:tcMar>
              <w:left w:w="45" w:type="dxa"/>
              <w:right w:w="45" w:type="dxa"/>
            </w:tcMar>
            <w:vAlign w:val="center"/>
          </w:tcPr>
          <w:p w14:paraId="3D0D0A7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（146）应设置专用存储区或者储存专柜并有防盗措施。</w:t>
            </w:r>
          </w:p>
          <w:p w14:paraId="098F915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（147）第一类易制毒化学品（含药品类易制毒化学品）实行双人双锁管理，账册保存期限不少于2年</w:t>
            </w:r>
          </w:p>
        </w:tc>
        <w:tc>
          <w:tcPr>
            <w:tcW w:w="2543" w:type="dxa"/>
            <w:tcMar>
              <w:left w:w="45" w:type="dxa"/>
              <w:right w:w="45" w:type="dxa"/>
            </w:tcMar>
            <w:vAlign w:val="center"/>
          </w:tcPr>
          <w:p w14:paraId="1F4DD9D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p>
        </w:tc>
      </w:tr>
      <w:tr w14:paraId="19D19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DC13BC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9.5.3</w:t>
            </w:r>
          </w:p>
        </w:tc>
        <w:tc>
          <w:tcPr>
            <w:tcW w:w="3703" w:type="dxa"/>
            <w:tcMar>
              <w:left w:w="45" w:type="dxa"/>
              <w:right w:w="45" w:type="dxa"/>
            </w:tcMar>
            <w:vAlign w:val="center"/>
          </w:tcPr>
          <w:p w14:paraId="5E8CC95E">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易制爆化学品存量合规、双人双锁保管</w:t>
            </w:r>
          </w:p>
          <w:p w14:paraId="1560DEC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c>
          <w:tcPr>
            <w:tcW w:w="7777" w:type="dxa"/>
            <w:tcMar>
              <w:left w:w="45" w:type="dxa"/>
              <w:right w:w="45" w:type="dxa"/>
            </w:tcMar>
            <w:vAlign w:val="center"/>
          </w:tcPr>
          <w:p w14:paraId="7456E38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rPr>
              <w:t>（148）</w:t>
            </w:r>
            <w:r>
              <w:rPr>
                <w:rFonts w:hint="default" w:ascii="Times New Roman" w:hAnsi="Times New Roman" w:eastAsia="仿宋_GB2312" w:cs="Times New Roman"/>
                <w:b/>
                <w:bCs/>
                <w:color w:val="auto"/>
                <w:kern w:val="0"/>
              </w:rPr>
              <w:t>易制爆化学品存量合规，单个储存室或者储存柜储存量不超过50kg</w:t>
            </w:r>
            <w:r>
              <w:rPr>
                <w:rFonts w:hint="default" w:ascii="Times New Roman" w:hAnsi="Times New Roman" w:eastAsia="仿宋_GB2312" w:cs="Times New Roman"/>
                <w:b/>
                <w:bCs/>
                <w:color w:val="auto"/>
                <w:kern w:val="0"/>
                <w:szCs w:val="21"/>
              </w:rPr>
              <w:t>。</w:t>
            </w:r>
          </w:p>
          <w:p w14:paraId="0852B9A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（149）存放场所出入口应设置防盗安全门，或存放在专用储存柜内，储存场所防盗安全级别应为3级（含）以上，专用储存柜应具有防盗功能，符合双人双锁管理要求，台账账册保存期限不少于1年</w:t>
            </w:r>
          </w:p>
        </w:tc>
        <w:tc>
          <w:tcPr>
            <w:tcW w:w="2543" w:type="dxa"/>
            <w:tcMar>
              <w:left w:w="45" w:type="dxa"/>
              <w:right w:w="45" w:type="dxa"/>
            </w:tcMar>
            <w:vAlign w:val="center"/>
          </w:tcPr>
          <w:p w14:paraId="2764369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p>
        </w:tc>
      </w:tr>
      <w:tr w14:paraId="2ECE3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E51148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9.5.4</w:t>
            </w:r>
          </w:p>
        </w:tc>
        <w:tc>
          <w:tcPr>
            <w:tcW w:w="3703" w:type="dxa"/>
            <w:tcMar>
              <w:left w:w="45" w:type="dxa"/>
              <w:right w:w="45" w:type="dxa"/>
            </w:tcMar>
            <w:vAlign w:val="center"/>
          </w:tcPr>
          <w:p w14:paraId="0D9198E2">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麻醉药品和第一类精神药品管理符合“双人双锁”要求，有专用账册</w:t>
            </w:r>
          </w:p>
        </w:tc>
        <w:tc>
          <w:tcPr>
            <w:tcW w:w="7777" w:type="dxa"/>
            <w:tcMar>
              <w:left w:w="45" w:type="dxa"/>
              <w:right w:w="45" w:type="dxa"/>
            </w:tcMar>
            <w:vAlign w:val="center"/>
          </w:tcPr>
          <w:p w14:paraId="3B922D9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（150）设立专库或者专柜储存，专库应当设有防盗设施并安装报警装置，专柜应当使用保险柜，专库和专柜应当实行双人双锁管理。</w:t>
            </w:r>
          </w:p>
          <w:p w14:paraId="11E3D87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（151）配备专人管理并建立专用账册，专用账册的保存期限应当自药品有效期期满之日起不少于5年</w:t>
            </w:r>
          </w:p>
        </w:tc>
        <w:tc>
          <w:tcPr>
            <w:tcW w:w="2543" w:type="dxa"/>
            <w:tcMar>
              <w:left w:w="45" w:type="dxa"/>
              <w:right w:w="45" w:type="dxa"/>
            </w:tcMar>
            <w:vAlign w:val="center"/>
          </w:tcPr>
          <w:p w14:paraId="2FC3EBA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p>
        </w:tc>
      </w:tr>
      <w:tr w14:paraId="7CD83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F3DD93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9.5.5</w:t>
            </w:r>
          </w:p>
        </w:tc>
        <w:tc>
          <w:tcPr>
            <w:tcW w:w="3703" w:type="dxa"/>
            <w:tcMar>
              <w:left w:w="45" w:type="dxa"/>
              <w:right w:w="45" w:type="dxa"/>
            </w:tcMar>
            <w:vAlign w:val="center"/>
          </w:tcPr>
          <w:p w14:paraId="08FC0C0A">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爆炸品单独隔离、限量存储，使用、销毁按照公安部门的要求执行</w:t>
            </w:r>
          </w:p>
        </w:tc>
        <w:tc>
          <w:tcPr>
            <w:tcW w:w="7777" w:type="dxa"/>
            <w:tcMar>
              <w:left w:w="45" w:type="dxa"/>
              <w:right w:w="45" w:type="dxa"/>
            </w:tcMar>
            <w:vAlign w:val="center"/>
          </w:tcPr>
          <w:p w14:paraId="2023CA5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（152）收存和发放民用爆炸物品必须进行登记，做到账目清楚，账物相符</w:t>
            </w:r>
          </w:p>
        </w:tc>
        <w:tc>
          <w:tcPr>
            <w:tcW w:w="2543" w:type="dxa"/>
            <w:tcMar>
              <w:left w:w="45" w:type="dxa"/>
              <w:right w:w="45" w:type="dxa"/>
            </w:tcMar>
            <w:vAlign w:val="center"/>
          </w:tcPr>
          <w:p w14:paraId="37E6FF9B">
            <w:pPr>
              <w:pageBreakBefore w:val="0"/>
              <w:widowControl/>
              <w:kinsoku/>
              <w:wordWrap/>
              <w:overflowPunct/>
              <w:topLinePunct w:val="0"/>
              <w:bidi w:val="0"/>
              <w:snapToGrid/>
              <w:spacing w:after="0" w:line="300" w:lineRule="exact"/>
              <w:jc w:val="left"/>
              <w:textAlignment w:val="auto"/>
              <w:rPr>
                <w:rFonts w:hint="default" w:ascii="Times New Roman" w:hAnsi="Times New Roman" w:eastAsia="仿宋_GB2312" w:cs="Times New Roman"/>
                <w:color w:val="auto"/>
                <w:kern w:val="0"/>
                <w:szCs w:val="21"/>
              </w:rPr>
            </w:pPr>
          </w:p>
        </w:tc>
      </w:tr>
      <w:tr w14:paraId="23AFF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CC42A7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bCs/>
                <w:color w:val="auto"/>
                <w:kern w:val="0"/>
                <w:szCs w:val="21"/>
              </w:rPr>
              <w:t>9.6</w:t>
            </w:r>
          </w:p>
        </w:tc>
        <w:tc>
          <w:tcPr>
            <w:tcW w:w="14023" w:type="dxa"/>
            <w:gridSpan w:val="3"/>
            <w:tcMar>
              <w:left w:w="45" w:type="dxa"/>
              <w:right w:w="45" w:type="dxa"/>
            </w:tcMar>
            <w:vAlign w:val="center"/>
          </w:tcPr>
          <w:p w14:paraId="244AAD8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实验气体管理</w:t>
            </w:r>
          </w:p>
        </w:tc>
      </w:tr>
      <w:tr w14:paraId="6AAAE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193370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9.6.1</w:t>
            </w:r>
          </w:p>
        </w:tc>
        <w:tc>
          <w:tcPr>
            <w:tcW w:w="3703" w:type="dxa"/>
            <w:tcMar>
              <w:left w:w="45" w:type="dxa"/>
              <w:right w:w="45" w:type="dxa"/>
            </w:tcMar>
            <w:vAlign w:val="center"/>
          </w:tcPr>
          <w:p w14:paraId="32AC3D9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从合格供应商处采购实验气体，建立气体（气瓶）台账</w:t>
            </w:r>
          </w:p>
        </w:tc>
        <w:tc>
          <w:tcPr>
            <w:tcW w:w="7777" w:type="dxa"/>
            <w:tcMar>
              <w:left w:w="45" w:type="dxa"/>
              <w:right w:w="45" w:type="dxa"/>
            </w:tcMar>
            <w:vAlign w:val="center"/>
          </w:tcPr>
          <w:p w14:paraId="6C3F9CE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（153）查看记录</w:t>
            </w:r>
          </w:p>
          <w:p w14:paraId="0940E5A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c>
          <w:tcPr>
            <w:tcW w:w="2543" w:type="dxa"/>
            <w:tcMar>
              <w:left w:w="45" w:type="dxa"/>
              <w:right w:w="45" w:type="dxa"/>
            </w:tcMar>
            <w:vAlign w:val="center"/>
          </w:tcPr>
          <w:p w14:paraId="6FD04DF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DE37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1470F4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9.6.2</w:t>
            </w:r>
          </w:p>
        </w:tc>
        <w:tc>
          <w:tcPr>
            <w:tcW w:w="3703" w:type="dxa"/>
            <w:tcMar>
              <w:left w:w="45" w:type="dxa"/>
              <w:right w:w="45" w:type="dxa"/>
            </w:tcMar>
            <w:vAlign w:val="center"/>
          </w:tcPr>
          <w:p w14:paraId="32860B4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气体（气瓶）的存放和使用符合相关要求</w:t>
            </w:r>
          </w:p>
        </w:tc>
        <w:tc>
          <w:tcPr>
            <w:tcW w:w="7777" w:type="dxa"/>
            <w:tcMar>
              <w:left w:w="45" w:type="dxa"/>
              <w:right w:w="45" w:type="dxa"/>
            </w:tcMar>
            <w:vAlign w:val="center"/>
          </w:tcPr>
          <w:p w14:paraId="12709A1A">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（154）气体（气瓶）存放点须通风、远离热源、避免暴晒，地面平整干燥。</w:t>
            </w:r>
          </w:p>
          <w:p w14:paraId="24DAA52D">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（155）气瓶应合理固定。</w:t>
            </w:r>
          </w:p>
          <w:p w14:paraId="3E62D827">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（156）危险气体气瓶尽量置于室外，室内放置应使用常时排风且带监测报警装置的气瓶柜。</w:t>
            </w:r>
          </w:p>
          <w:p w14:paraId="0E8D3D3E">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（157）气瓶的存放应控制在最小需求量。</w:t>
            </w:r>
          </w:p>
          <w:p w14:paraId="49A8D0C5">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（158）</w:t>
            </w:r>
            <w:r>
              <w:rPr>
                <w:rFonts w:hint="default" w:ascii="Times New Roman" w:hAnsi="Times New Roman" w:eastAsia="仿宋_GB2312" w:cs="Times New Roman"/>
                <w:b/>
                <w:bCs/>
                <w:color w:val="auto"/>
                <w:kern w:val="0"/>
                <w:szCs w:val="21"/>
              </w:rPr>
              <w:t>涉及有毒、可燃气体的场所，配有通风设施和相应的气体监测和报警装置等，张贴必要的安全警示标志。</w:t>
            </w:r>
          </w:p>
          <w:p w14:paraId="2A9BEEA7">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（159）可燃性气体与氧气等助燃气体气瓶不得混放。</w:t>
            </w:r>
          </w:p>
          <w:p w14:paraId="77B4D599">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（160）独立的气体气瓶室应通风、不混放、有监控，有专人管理和记录。</w:t>
            </w:r>
          </w:p>
          <w:p w14:paraId="6F9FEF47">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（161）有供应商提供的气瓶定期检验合格标识，无超过检验有效期的气瓶、无超过设计年限的气瓶。</w:t>
            </w:r>
          </w:p>
          <w:p w14:paraId="23FBED26">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（162）气瓶颜色符合GB/T 7144《气瓶颜色标志》的规定，确认“满”“使用中”“空瓶”三种状态。</w:t>
            </w:r>
          </w:p>
          <w:p w14:paraId="46C0F52A">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（163）使用完毕，应及时关闭气瓶总阀。</w:t>
            </w:r>
          </w:p>
          <w:p w14:paraId="1B0C755E">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（164）气瓶附件齐全</w:t>
            </w:r>
          </w:p>
        </w:tc>
        <w:tc>
          <w:tcPr>
            <w:tcW w:w="2543" w:type="dxa"/>
            <w:tcMar>
              <w:left w:w="45" w:type="dxa"/>
              <w:right w:w="45" w:type="dxa"/>
            </w:tcMar>
            <w:vAlign w:val="center"/>
          </w:tcPr>
          <w:p w14:paraId="3849769E">
            <w:pPr>
              <w:pageBreakBefore w:val="0"/>
              <w:kinsoku/>
              <w:wordWrap/>
              <w:overflowPunct/>
              <w:topLinePunct w:val="0"/>
              <w:bidi w:val="0"/>
              <w:snapToGrid/>
              <w:spacing w:after="0"/>
              <w:textAlignment w:val="auto"/>
              <w:rPr>
                <w:rFonts w:hint="default" w:ascii="Times New Roman" w:hAnsi="Times New Roman" w:eastAsia="仿宋_GB2312" w:cs="Times New Roman"/>
                <w:color w:val="auto"/>
              </w:rPr>
            </w:pPr>
          </w:p>
        </w:tc>
      </w:tr>
      <w:tr w14:paraId="0A3C9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01116E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9.6.3</w:t>
            </w:r>
          </w:p>
        </w:tc>
        <w:tc>
          <w:tcPr>
            <w:tcW w:w="3703" w:type="dxa"/>
            <w:tcMar>
              <w:left w:w="45" w:type="dxa"/>
              <w:right w:w="45" w:type="dxa"/>
            </w:tcMar>
            <w:vAlign w:val="center"/>
          </w:tcPr>
          <w:p w14:paraId="03FDBFD5">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rPr>
              <w:t>在较小密封空间使用可引起窒息的气体，须安装氧含量监测</w:t>
            </w:r>
            <w:r>
              <w:rPr>
                <w:rFonts w:hint="default" w:ascii="Times New Roman" w:hAnsi="Times New Roman" w:eastAsia="仿宋_GB2312" w:cs="Times New Roman"/>
                <w:color w:val="auto"/>
                <w:kern w:val="0"/>
                <w:szCs w:val="21"/>
              </w:rPr>
              <w:t>报警装置</w:t>
            </w:r>
          </w:p>
        </w:tc>
        <w:tc>
          <w:tcPr>
            <w:tcW w:w="7777" w:type="dxa"/>
            <w:tcMar>
              <w:left w:w="45" w:type="dxa"/>
              <w:right w:w="45" w:type="dxa"/>
            </w:tcMar>
            <w:vAlign w:val="center"/>
          </w:tcPr>
          <w:p w14:paraId="081DF198">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（165）在存有大量无毒窒息性压缩气体或液化气体（液氮、液氩）的较小密闭空间，为</w:t>
            </w:r>
            <w:r>
              <w:rPr>
                <w:rFonts w:hint="default" w:ascii="Times New Roman" w:hAnsi="Times New Roman" w:eastAsia="仿宋_GB2312" w:cs="Times New Roman"/>
                <w:bCs/>
                <w:color w:val="auto"/>
                <w:kern w:val="0"/>
                <w:szCs w:val="21"/>
              </w:rPr>
              <w:t>防止气体大量泄漏或蒸发导致缺氧，</w:t>
            </w:r>
            <w:r>
              <w:rPr>
                <w:rFonts w:hint="default" w:ascii="Times New Roman" w:hAnsi="Times New Roman" w:eastAsia="仿宋_GB2312" w:cs="Times New Roman"/>
                <w:color w:val="auto"/>
                <w:szCs w:val="21"/>
              </w:rPr>
              <w:t>须安装氧含量监测报警装置。如，实验室存放1瓶常见规格40L公称体积，15MPa公称压力的窒息性气体气瓶，实验室层高2.8m时的临界面积为28m</w:t>
            </w:r>
            <w:r>
              <w:rPr>
                <w:rFonts w:hint="default" w:ascii="Times New Roman" w:hAnsi="Times New Roman" w:eastAsia="仿宋_GB2312" w:cs="Times New Roman"/>
                <w:color w:val="auto"/>
                <w:szCs w:val="21"/>
                <w:vertAlign w:val="superscript"/>
              </w:rPr>
              <w:t>2</w:t>
            </w:r>
            <w:r>
              <w:rPr>
                <w:rFonts w:hint="default" w:ascii="Times New Roman" w:hAnsi="Times New Roman" w:eastAsia="仿宋_GB2312" w:cs="Times New Roman"/>
                <w:color w:val="auto"/>
                <w:szCs w:val="21"/>
              </w:rPr>
              <w:t>，层高2.6m时的临界面积为30 m</w:t>
            </w:r>
            <w:r>
              <w:rPr>
                <w:rFonts w:hint="default" w:ascii="Times New Roman" w:hAnsi="Times New Roman" w:eastAsia="仿宋_GB2312" w:cs="Times New Roman"/>
                <w:color w:val="auto"/>
                <w:szCs w:val="21"/>
                <w:vertAlign w:val="superscript"/>
              </w:rPr>
              <w:t>2</w:t>
            </w:r>
            <w:r>
              <w:rPr>
                <w:rFonts w:hint="default" w:ascii="Times New Roman" w:hAnsi="Times New Roman" w:eastAsia="仿宋_GB2312" w:cs="Times New Roman"/>
                <w:color w:val="auto"/>
                <w:szCs w:val="21"/>
              </w:rPr>
              <w:t>；实验室存放10L体积液氮（液态密度0.808 g·mL</w:t>
            </w:r>
            <w:r>
              <w:rPr>
                <w:rFonts w:hint="default" w:ascii="Times New Roman" w:hAnsi="Times New Roman" w:eastAsia="仿宋_GB2312" w:cs="Times New Roman"/>
                <w:color w:val="auto"/>
                <w:szCs w:val="21"/>
                <w:vertAlign w:val="superscript"/>
              </w:rPr>
              <w:t>–1</w:t>
            </w:r>
            <w:r>
              <w:rPr>
                <w:rFonts w:hint="default" w:ascii="Times New Roman" w:hAnsi="Times New Roman" w:eastAsia="仿宋_GB2312" w:cs="Times New Roman"/>
                <w:color w:val="auto"/>
                <w:szCs w:val="21"/>
              </w:rPr>
              <w:t>），实验室层高2.8m时的临界面积为30m</w:t>
            </w:r>
            <w:r>
              <w:rPr>
                <w:rFonts w:hint="default" w:ascii="Times New Roman" w:hAnsi="Times New Roman" w:eastAsia="仿宋_GB2312" w:cs="Times New Roman"/>
                <w:color w:val="auto"/>
                <w:szCs w:val="21"/>
                <w:vertAlign w:val="superscript"/>
              </w:rPr>
              <w:t>2</w:t>
            </w:r>
            <w:r>
              <w:rPr>
                <w:rFonts w:hint="default" w:ascii="Times New Roman" w:hAnsi="Times New Roman" w:eastAsia="仿宋_GB2312" w:cs="Times New Roman"/>
                <w:color w:val="auto"/>
                <w:szCs w:val="21"/>
              </w:rPr>
              <w:t>，层高2.6m时的临界面积为35 m</w:t>
            </w:r>
            <w:r>
              <w:rPr>
                <w:rFonts w:hint="default" w:ascii="Times New Roman" w:hAnsi="Times New Roman" w:eastAsia="仿宋_GB2312" w:cs="Times New Roman"/>
                <w:color w:val="auto"/>
                <w:szCs w:val="21"/>
                <w:vertAlign w:val="superscript"/>
              </w:rPr>
              <w:t>2</w:t>
            </w:r>
          </w:p>
        </w:tc>
        <w:tc>
          <w:tcPr>
            <w:tcW w:w="2543" w:type="dxa"/>
            <w:tcMar>
              <w:left w:w="45" w:type="dxa"/>
              <w:right w:w="45" w:type="dxa"/>
            </w:tcMar>
            <w:vAlign w:val="center"/>
          </w:tcPr>
          <w:p w14:paraId="547314A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E399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51DC54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9.6.4</w:t>
            </w:r>
          </w:p>
        </w:tc>
        <w:tc>
          <w:tcPr>
            <w:tcW w:w="3703" w:type="dxa"/>
            <w:tcMar>
              <w:left w:w="45" w:type="dxa"/>
              <w:right w:w="45" w:type="dxa"/>
            </w:tcMar>
            <w:vAlign w:val="center"/>
          </w:tcPr>
          <w:p w14:paraId="3D6E5D8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气体管路和气瓶连接正确、有清晰的标识</w:t>
            </w:r>
          </w:p>
        </w:tc>
        <w:tc>
          <w:tcPr>
            <w:tcW w:w="7777" w:type="dxa"/>
            <w:tcMar>
              <w:left w:w="45" w:type="dxa"/>
              <w:right w:w="45" w:type="dxa"/>
            </w:tcMar>
            <w:vAlign w:val="center"/>
          </w:tcPr>
          <w:p w14:paraId="04AD2012">
            <w:pPr>
              <w:pageBreakBefore w:val="0"/>
              <w:widowControl/>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（166）管路材质选择合适，无破损或老化现象，定期进行气密性检查；存在多条气体管路的房间须张贴详细的管路图，管路标识正确</w:t>
            </w:r>
          </w:p>
        </w:tc>
        <w:tc>
          <w:tcPr>
            <w:tcW w:w="2543" w:type="dxa"/>
            <w:tcMar>
              <w:left w:w="45" w:type="dxa"/>
              <w:right w:w="45" w:type="dxa"/>
            </w:tcMar>
            <w:vAlign w:val="center"/>
          </w:tcPr>
          <w:p w14:paraId="650F7D8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B0A6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6E43D2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9.7</w:t>
            </w:r>
          </w:p>
        </w:tc>
        <w:tc>
          <w:tcPr>
            <w:tcW w:w="14023" w:type="dxa"/>
            <w:gridSpan w:val="3"/>
            <w:tcMar>
              <w:left w:w="45" w:type="dxa"/>
              <w:right w:w="45" w:type="dxa"/>
            </w:tcMar>
            <w:vAlign w:val="center"/>
          </w:tcPr>
          <w:p w14:paraId="27D20A5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实验室化学废弃物的收集、分类和转运</w:t>
            </w:r>
          </w:p>
        </w:tc>
      </w:tr>
      <w:tr w14:paraId="63146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73C762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9.7.1</w:t>
            </w:r>
          </w:p>
        </w:tc>
        <w:tc>
          <w:tcPr>
            <w:tcW w:w="3703" w:type="dxa"/>
            <w:tcMar>
              <w:left w:w="45" w:type="dxa"/>
              <w:right w:w="45" w:type="dxa"/>
            </w:tcMar>
            <w:vAlign w:val="center"/>
          </w:tcPr>
          <w:p w14:paraId="2F7126A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实验室应设立化学废弃物暂存区</w:t>
            </w:r>
          </w:p>
        </w:tc>
        <w:tc>
          <w:tcPr>
            <w:tcW w:w="7777" w:type="dxa"/>
            <w:tcMar>
              <w:left w:w="45" w:type="dxa"/>
              <w:right w:w="45" w:type="dxa"/>
            </w:tcMar>
            <w:vAlign w:val="center"/>
          </w:tcPr>
          <w:p w14:paraId="00C8BB07">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（167）暂存区应远离火源、热源和不相容物质，避免日晒、雨淋，存放两种及以上不相容的实验室危险废物时，应分不同区域。</w:t>
            </w:r>
          </w:p>
          <w:p w14:paraId="0E7CAB89">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（168）暂存区应有警示标志并有防遗洒、防渗漏设施或措施</w:t>
            </w:r>
          </w:p>
        </w:tc>
        <w:tc>
          <w:tcPr>
            <w:tcW w:w="2543" w:type="dxa"/>
            <w:tcMar>
              <w:left w:w="45" w:type="dxa"/>
              <w:right w:w="45" w:type="dxa"/>
            </w:tcMar>
            <w:vAlign w:val="center"/>
          </w:tcPr>
          <w:p w14:paraId="3C1D080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864E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F2D222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9.7.2</w:t>
            </w:r>
          </w:p>
        </w:tc>
        <w:tc>
          <w:tcPr>
            <w:tcW w:w="3703" w:type="dxa"/>
            <w:tcMar>
              <w:left w:w="45" w:type="dxa"/>
              <w:right w:w="45" w:type="dxa"/>
            </w:tcMar>
            <w:vAlign w:val="center"/>
          </w:tcPr>
          <w:p w14:paraId="0F798AB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实验室内须规范收集化学废弃物</w:t>
            </w:r>
          </w:p>
        </w:tc>
        <w:tc>
          <w:tcPr>
            <w:tcW w:w="7777" w:type="dxa"/>
            <w:tcMar>
              <w:left w:w="45" w:type="dxa"/>
              <w:right w:w="45" w:type="dxa"/>
            </w:tcMar>
            <w:vAlign w:val="center"/>
          </w:tcPr>
          <w:p w14:paraId="6657AF3B">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（169）危险废物应按化学特性和危险特性，进行分类收集和暂存，通常条件下不稳定物质必须稳定化处理后才能进入危废处理流程。</w:t>
            </w:r>
          </w:p>
          <w:p w14:paraId="4E0E14C6">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（170）废弃的化学试剂应存放在原试剂瓶中，保留原标签，且瓶口朝上放入专用固废箱中。</w:t>
            </w:r>
          </w:p>
          <w:p w14:paraId="641A26E3">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（171）针头等利器须放入利器盒中收集。</w:t>
            </w:r>
          </w:p>
          <w:p w14:paraId="36D92881">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（172）废液应分类装入专用废液桶中，液面不超过容量的3/4。废液桶须满足耐腐蚀、抗溶剂、耐挤压、抗冲击的要求。</w:t>
            </w:r>
          </w:p>
          <w:p w14:paraId="00C8643A">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（173）实验室危险废物收集容器上应粘贴危险废物信息标签、警示标识。</w:t>
            </w:r>
          </w:p>
          <w:p w14:paraId="6581F62E">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（174）严禁将实验室危险废物直接排入下水道，严禁与生活垃圾、感染性废物或放射性废物等混装</w:t>
            </w:r>
          </w:p>
        </w:tc>
        <w:tc>
          <w:tcPr>
            <w:tcW w:w="2543" w:type="dxa"/>
            <w:tcMar>
              <w:left w:w="45" w:type="dxa"/>
              <w:right w:w="45" w:type="dxa"/>
            </w:tcMar>
            <w:vAlign w:val="center"/>
          </w:tcPr>
          <w:p w14:paraId="125917C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54DC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FA02B6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9.7.3</w:t>
            </w:r>
          </w:p>
        </w:tc>
        <w:tc>
          <w:tcPr>
            <w:tcW w:w="3703" w:type="dxa"/>
            <w:tcMar>
              <w:left w:w="45" w:type="dxa"/>
              <w:right w:w="45" w:type="dxa"/>
            </w:tcMar>
            <w:vAlign w:val="center"/>
          </w:tcPr>
          <w:p w14:paraId="4A5F340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学校应建设化学废弃物贮存站并规范管理</w:t>
            </w:r>
          </w:p>
        </w:tc>
        <w:tc>
          <w:tcPr>
            <w:tcW w:w="7777" w:type="dxa"/>
            <w:tcMar>
              <w:left w:w="45" w:type="dxa"/>
              <w:right w:w="45" w:type="dxa"/>
            </w:tcMar>
            <w:vAlign w:val="center"/>
          </w:tcPr>
          <w:p w14:paraId="41B112AF">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（175）贮存设施、场所应当按照规定设置危险废物识别标志，存储装置符合GB/T 41962《实验室废弃物存储装置技术规范》的要求，易燃废弃物室外存储装置的单套内部面积应不大于30m</w:t>
            </w:r>
            <w:r>
              <w:rPr>
                <w:rFonts w:hint="default" w:ascii="Times New Roman" w:hAnsi="Times New Roman" w:eastAsia="仿宋_GB2312" w:cs="Times New Roman"/>
                <w:color w:val="auto"/>
                <w:kern w:val="0"/>
                <w:szCs w:val="21"/>
                <w:vertAlign w:val="superscript"/>
              </w:rPr>
              <w:t>2</w:t>
            </w:r>
            <w:r>
              <w:rPr>
                <w:rFonts w:hint="default" w:ascii="Times New Roman" w:hAnsi="Times New Roman" w:eastAsia="仿宋_GB2312" w:cs="Times New Roman"/>
                <w:color w:val="auto"/>
                <w:kern w:val="0"/>
                <w:szCs w:val="21"/>
              </w:rPr>
              <w:t>、高应不大于3m（尺寸误差应不大于10%），并在通风口处设置防火阀，公称动作温度为70</w:t>
            </w:r>
            <w:r>
              <w:rPr>
                <w:rFonts w:hint="default" w:ascii="Times New Roman" w:hAnsi="Times New Roman" w:eastAsia="仿宋_GB2312" w:cs="Times New Roman"/>
                <w:color w:val="auto"/>
                <w:sz w:val="24"/>
              </w:rPr>
              <w:t>°C</w:t>
            </w:r>
            <w:r>
              <w:rPr>
                <w:rFonts w:hint="default" w:ascii="Times New Roman" w:hAnsi="Times New Roman" w:eastAsia="仿宋_GB2312" w:cs="Times New Roman"/>
                <w:color w:val="auto"/>
                <w:kern w:val="0"/>
                <w:szCs w:val="21"/>
              </w:rPr>
              <w:t>。</w:t>
            </w:r>
          </w:p>
          <w:p w14:paraId="346F1509">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（176）贮存站应有具体的管理办法并将贮存站安全运行、实验室危险废物出站转运等日常管理工作落实到相关人员的岗位职责中。</w:t>
            </w:r>
          </w:p>
          <w:p w14:paraId="28BE079B">
            <w:pPr>
              <w:pageBreakBefore w:val="0"/>
              <w:widowControl/>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（177）制定意外事故的防范措施和应急预案</w:t>
            </w:r>
            <w:r>
              <w:rPr>
                <w:rFonts w:hint="default" w:ascii="Times New Roman" w:hAnsi="Times New Roman" w:eastAsia="仿宋_GB2312" w:cs="Times New Roman"/>
                <w:color w:val="auto"/>
                <w:kern w:val="0"/>
                <w:szCs w:val="21"/>
              </w:rPr>
              <w:t>，并向所在地生态环境主管部门</w:t>
            </w:r>
            <w:r>
              <w:rPr>
                <w:rFonts w:hint="default" w:ascii="Times New Roman" w:hAnsi="Times New Roman" w:eastAsia="仿宋_GB2312" w:cs="Times New Roman"/>
                <w:bCs/>
                <w:color w:val="auto"/>
                <w:kern w:val="0"/>
                <w:szCs w:val="21"/>
              </w:rPr>
              <w:t>备案</w:t>
            </w:r>
          </w:p>
        </w:tc>
        <w:tc>
          <w:tcPr>
            <w:tcW w:w="2543" w:type="dxa"/>
            <w:tcMar>
              <w:left w:w="45" w:type="dxa"/>
              <w:right w:w="45" w:type="dxa"/>
            </w:tcMar>
            <w:vAlign w:val="center"/>
          </w:tcPr>
          <w:p w14:paraId="73DC619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26CA4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8E7D37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9.7.4</w:t>
            </w:r>
          </w:p>
        </w:tc>
        <w:tc>
          <w:tcPr>
            <w:tcW w:w="3703" w:type="dxa"/>
            <w:tcMar>
              <w:left w:w="45" w:type="dxa"/>
              <w:right w:w="45" w:type="dxa"/>
            </w:tcMar>
            <w:vAlign w:val="center"/>
          </w:tcPr>
          <w:p w14:paraId="6439417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化学废弃物的转运须合规</w:t>
            </w:r>
          </w:p>
        </w:tc>
        <w:tc>
          <w:tcPr>
            <w:tcW w:w="7777" w:type="dxa"/>
            <w:tcMar>
              <w:left w:w="45" w:type="dxa"/>
              <w:right w:w="45" w:type="dxa"/>
            </w:tcMar>
            <w:vAlign w:val="center"/>
          </w:tcPr>
          <w:p w14:paraId="48ADE000">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（178）委托有危险废物处置资质的专业厂家集中处置化学废弃物，并查看协议。</w:t>
            </w:r>
          </w:p>
          <w:p w14:paraId="56515BEE">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（179）</w:t>
            </w:r>
            <w:r>
              <w:rPr>
                <w:rFonts w:hint="default" w:ascii="Times New Roman" w:hAnsi="Times New Roman" w:eastAsia="仿宋_GB2312" w:cs="Times New Roman"/>
                <w:bCs/>
                <w:color w:val="auto"/>
                <w:kern w:val="0"/>
                <w:szCs w:val="21"/>
              </w:rPr>
              <w:t>建立危险废物管理台账</w:t>
            </w:r>
            <w:r>
              <w:rPr>
                <w:rFonts w:hint="default" w:ascii="Times New Roman" w:hAnsi="Times New Roman" w:eastAsia="仿宋_GB2312" w:cs="Times New Roman"/>
                <w:color w:val="auto"/>
                <w:kern w:val="0"/>
                <w:szCs w:val="21"/>
              </w:rPr>
              <w:t>，如实记录有关信息，包括种类、产生量、流向、贮存、处置等有关资料。</w:t>
            </w:r>
          </w:p>
          <w:p w14:paraId="76ABC394">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（180）校外转运之前，贮存站必须妥善管理实验室危险废物，采取有效措施，防止废物的扬散、流失、渗漏或造成其他环境污染。</w:t>
            </w:r>
          </w:p>
          <w:p w14:paraId="55FF1B33">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（181）转运人员应使用专用运输工具，运输前根据运输废物的危险特性，应携带必要的应急物资和个体防护用具，如收集工具、手套、口罩等。</w:t>
            </w:r>
          </w:p>
          <w:p w14:paraId="25282CE9">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（182）实验室危险废物的校外转运必须按照国家有关规定填写危险废物电子或者纸质转移联单，任何单位和个人未经许可不得非法转运</w:t>
            </w:r>
          </w:p>
        </w:tc>
        <w:tc>
          <w:tcPr>
            <w:tcW w:w="2543" w:type="dxa"/>
            <w:tcMar>
              <w:left w:w="45" w:type="dxa"/>
              <w:right w:w="45" w:type="dxa"/>
            </w:tcMar>
            <w:vAlign w:val="center"/>
          </w:tcPr>
          <w:p w14:paraId="19BD687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0ED5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21A9DA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10</w:t>
            </w:r>
          </w:p>
        </w:tc>
        <w:tc>
          <w:tcPr>
            <w:tcW w:w="14023" w:type="dxa"/>
            <w:gridSpan w:val="3"/>
            <w:tcMar>
              <w:left w:w="45" w:type="dxa"/>
              <w:right w:w="45" w:type="dxa"/>
            </w:tcMar>
            <w:vAlign w:val="center"/>
          </w:tcPr>
          <w:p w14:paraId="57C92B2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生物安全</w:t>
            </w:r>
          </w:p>
        </w:tc>
      </w:tr>
      <w:tr w14:paraId="2547F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3C7497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10.1</w:t>
            </w:r>
          </w:p>
        </w:tc>
        <w:tc>
          <w:tcPr>
            <w:tcW w:w="14023" w:type="dxa"/>
            <w:gridSpan w:val="3"/>
            <w:tcMar>
              <w:left w:w="45" w:type="dxa"/>
              <w:right w:w="45" w:type="dxa"/>
            </w:tcMar>
            <w:vAlign w:val="center"/>
          </w:tcPr>
          <w:p w14:paraId="68D7F64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实验室生物安全等级</w:t>
            </w:r>
          </w:p>
        </w:tc>
      </w:tr>
      <w:tr w14:paraId="1312F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03CC44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10.1.1</w:t>
            </w:r>
          </w:p>
        </w:tc>
        <w:tc>
          <w:tcPr>
            <w:tcW w:w="3703" w:type="dxa"/>
            <w:tcMar>
              <w:left w:w="45" w:type="dxa"/>
              <w:right w:w="45" w:type="dxa"/>
            </w:tcMar>
            <w:vAlign w:val="center"/>
          </w:tcPr>
          <w:p w14:paraId="0D3F907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开展病原微生物实验教学科研的实验室，须具备相应的安全等级资质</w:t>
            </w:r>
          </w:p>
        </w:tc>
        <w:tc>
          <w:tcPr>
            <w:tcW w:w="7777" w:type="dxa"/>
            <w:tcMar>
              <w:left w:w="45" w:type="dxa"/>
              <w:right w:w="45" w:type="dxa"/>
            </w:tcMar>
            <w:vAlign w:val="center"/>
          </w:tcPr>
          <w:p w14:paraId="51BA009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（183）</w:t>
            </w:r>
            <w:r>
              <w:rPr>
                <w:rFonts w:hint="default" w:ascii="Times New Roman" w:hAnsi="Times New Roman" w:eastAsia="仿宋_GB2312" w:cs="Times New Roman"/>
                <w:b/>
                <w:bCs w:val="0"/>
                <w:color w:val="auto"/>
                <w:kern w:val="0"/>
                <w:szCs w:val="21"/>
              </w:rPr>
              <w:t>有生物安全实验室的高校须按监管要求建立生物安全委员会等组织机构并依规履职。</w:t>
            </w:r>
            <w:r>
              <w:rPr>
                <w:rFonts w:hint="default" w:ascii="Times New Roman" w:hAnsi="Times New Roman" w:eastAsia="仿宋_GB2312" w:cs="Times New Roman"/>
                <w:bCs/>
                <w:color w:val="auto"/>
                <w:kern w:val="0"/>
                <w:szCs w:val="21"/>
              </w:rPr>
              <w:t>BSL-3/ABSL-3 、 BSL-4/ABSL-4 实 验 室 须 经 政 府 部 门 批 准 建 设 ， BSL-1/ABSL-1、BSL-2/ABSL-2 实验室由学校建设后报设区的市卫生                  或农业农村部门备案</w:t>
            </w:r>
          </w:p>
        </w:tc>
        <w:tc>
          <w:tcPr>
            <w:tcW w:w="2543" w:type="dxa"/>
            <w:tcMar>
              <w:left w:w="45" w:type="dxa"/>
              <w:right w:w="45" w:type="dxa"/>
            </w:tcMar>
            <w:vAlign w:val="center"/>
          </w:tcPr>
          <w:p w14:paraId="5C92201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1836B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5B27FA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10.1.2</w:t>
            </w:r>
          </w:p>
        </w:tc>
        <w:tc>
          <w:tcPr>
            <w:tcW w:w="3703" w:type="dxa"/>
            <w:tcMar>
              <w:left w:w="45" w:type="dxa"/>
              <w:right w:w="45" w:type="dxa"/>
            </w:tcMar>
            <w:vAlign w:val="center"/>
          </w:tcPr>
          <w:p w14:paraId="76DAFC0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在相应等级的实验室开展涉及致病性生物因子的实验活动</w:t>
            </w:r>
          </w:p>
          <w:p w14:paraId="0D89F49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c>
          <w:tcPr>
            <w:tcW w:w="7777" w:type="dxa"/>
            <w:tcMar>
              <w:left w:w="45" w:type="dxa"/>
              <w:right w:w="45" w:type="dxa"/>
            </w:tcMar>
            <w:vAlign w:val="center"/>
          </w:tcPr>
          <w:p w14:paraId="2D85312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（184）以国家法律、法规、标准、规范，以及权威机构发布的指南、数据等为依据</w:t>
            </w:r>
            <w:r>
              <w:rPr>
                <w:rFonts w:hint="default" w:ascii="Times New Roman" w:hAnsi="Times New Roman" w:eastAsia="仿宋_GB2312" w:cs="Times New Roman"/>
                <w:color w:val="auto"/>
                <w:kern w:val="0"/>
                <w:szCs w:val="21"/>
              </w:rPr>
              <w:t>，对涉及的致病性生物因子进行风险评估，实验室生物安全级别不低于国家发布的病原微生物目录要求</w:t>
            </w:r>
          </w:p>
        </w:tc>
        <w:tc>
          <w:tcPr>
            <w:tcW w:w="2543" w:type="dxa"/>
            <w:tcMar>
              <w:left w:w="45" w:type="dxa"/>
              <w:right w:w="45" w:type="dxa"/>
            </w:tcMar>
            <w:vAlign w:val="center"/>
          </w:tcPr>
          <w:p w14:paraId="287E064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44A95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96CE38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10.2</w:t>
            </w:r>
          </w:p>
        </w:tc>
        <w:tc>
          <w:tcPr>
            <w:tcW w:w="14023" w:type="dxa"/>
            <w:gridSpan w:val="3"/>
            <w:tcMar>
              <w:left w:w="45" w:type="dxa"/>
              <w:right w:w="45" w:type="dxa"/>
            </w:tcMar>
            <w:vAlign w:val="center"/>
          </w:tcPr>
          <w:p w14:paraId="537CE09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场所与设施</w:t>
            </w:r>
          </w:p>
        </w:tc>
      </w:tr>
      <w:tr w14:paraId="128E0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17F24E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10.2.1</w:t>
            </w:r>
          </w:p>
        </w:tc>
        <w:tc>
          <w:tcPr>
            <w:tcW w:w="3703" w:type="dxa"/>
            <w:tcMar>
              <w:left w:w="45" w:type="dxa"/>
              <w:right w:w="45" w:type="dxa"/>
            </w:tcMar>
            <w:vAlign w:val="center"/>
          </w:tcPr>
          <w:p w14:paraId="67B0521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实验室安全防范设施达到相应生物安全实验室要求，各区域分布合理、气压符合要求</w:t>
            </w:r>
          </w:p>
        </w:tc>
        <w:tc>
          <w:tcPr>
            <w:tcW w:w="7777" w:type="dxa"/>
            <w:tcMar>
              <w:left w:w="45" w:type="dxa"/>
              <w:right w:w="45" w:type="dxa"/>
            </w:tcMar>
            <w:vAlign w:val="center"/>
          </w:tcPr>
          <w:p w14:paraId="629281BD">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（185）</w:t>
            </w:r>
            <w:r>
              <w:rPr>
                <w:rFonts w:hint="default" w:ascii="Times New Roman" w:hAnsi="Times New Roman" w:eastAsia="仿宋_GB2312" w:cs="Times New Roman"/>
                <w:b/>
                <w:bCs/>
                <w:color w:val="auto"/>
                <w:kern w:val="0"/>
                <w:szCs w:val="21"/>
              </w:rPr>
              <w:t>实验室须设门禁管理和准入制度，储存病原微生物的场所或储柜配备防盗设施</w:t>
            </w:r>
            <w:r>
              <w:rPr>
                <w:rFonts w:hint="default" w:ascii="Times New Roman" w:hAnsi="Times New Roman" w:eastAsia="仿宋_GB2312" w:cs="Times New Roman"/>
                <w:color w:val="auto"/>
                <w:kern w:val="0"/>
                <w:szCs w:val="21"/>
              </w:rPr>
              <w:t>，</w:t>
            </w:r>
            <w:r>
              <w:rPr>
                <w:rFonts w:hint="default" w:ascii="Times New Roman" w:hAnsi="Times New Roman" w:eastAsia="仿宋_GB2312" w:cs="Times New Roman"/>
                <w:color w:val="auto"/>
                <w:kern w:val="0"/>
              </w:rPr>
              <w:t>BSL-3/ABSL-3及以上安全等级实验室须</w:t>
            </w:r>
            <w:r>
              <w:rPr>
                <w:rFonts w:hint="default" w:ascii="Times New Roman" w:hAnsi="Times New Roman" w:eastAsia="仿宋_GB2312" w:cs="Times New Roman"/>
                <w:color w:val="auto"/>
                <w:kern w:val="0"/>
                <w:szCs w:val="21"/>
              </w:rPr>
              <w:t>安装监控报警装置</w:t>
            </w:r>
          </w:p>
        </w:tc>
        <w:tc>
          <w:tcPr>
            <w:tcW w:w="2543" w:type="dxa"/>
            <w:tcMar>
              <w:left w:w="45" w:type="dxa"/>
              <w:right w:w="45" w:type="dxa"/>
            </w:tcMar>
            <w:vAlign w:val="center"/>
          </w:tcPr>
          <w:p w14:paraId="482E2AD8">
            <w:pPr>
              <w:pStyle w:val="55"/>
              <w:pageBreakBefore w:val="0"/>
              <w:kinsoku/>
              <w:wordWrap/>
              <w:overflowPunct/>
              <w:topLinePunct w:val="0"/>
              <w:bidi w:val="0"/>
              <w:snapToGrid/>
              <w:spacing w:after="0" w:line="360" w:lineRule="auto"/>
              <w:ind w:firstLine="0" w:firstLineChars="0"/>
              <w:textAlignment w:val="auto"/>
              <w:rPr>
                <w:rFonts w:hint="default" w:ascii="Times New Roman" w:hAnsi="Times New Roman" w:eastAsia="仿宋_GB2312" w:cs="Times New Roman"/>
                <w:b/>
                <w:bCs/>
                <w:color w:val="auto"/>
                <w:kern w:val="0"/>
              </w:rPr>
            </w:pPr>
          </w:p>
        </w:tc>
      </w:tr>
      <w:tr w14:paraId="2E1DB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E86711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10.2.2</w:t>
            </w:r>
          </w:p>
        </w:tc>
        <w:tc>
          <w:tcPr>
            <w:tcW w:w="3703" w:type="dxa"/>
            <w:tcMar>
              <w:left w:w="45" w:type="dxa"/>
              <w:right w:w="45" w:type="dxa"/>
            </w:tcMar>
            <w:vAlign w:val="center"/>
          </w:tcPr>
          <w:p w14:paraId="38EA262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配有符合相应要求的生物安全设施</w:t>
            </w:r>
          </w:p>
        </w:tc>
        <w:tc>
          <w:tcPr>
            <w:tcW w:w="7777" w:type="dxa"/>
            <w:tcMar>
              <w:left w:w="45" w:type="dxa"/>
              <w:right w:w="45" w:type="dxa"/>
            </w:tcMar>
            <w:vAlign w:val="center"/>
          </w:tcPr>
          <w:p w14:paraId="7997EDD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（186）BSL-2以上安全等级实验室须配有II级生物安全柜，ABSL-2适用时配备，并定期进行检测。</w:t>
            </w:r>
            <w:r>
              <w:rPr>
                <w:rFonts w:hint="default" w:ascii="Times New Roman" w:hAnsi="Times New Roman" w:eastAsia="仿宋_GB2312" w:cs="Times New Roman"/>
                <w:bCs/>
                <w:color w:val="auto"/>
                <w:kern w:val="0"/>
                <w:szCs w:val="21"/>
              </w:rPr>
              <w:t>B型生物安全柜不能破坏实验室的整体气流组织。</w:t>
            </w:r>
          </w:p>
          <w:p w14:paraId="770F3B6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（187）病原微生物实验室应有可靠和充足的电力供应，配备适用的消防器材、洗眼装置和必要的应急喷淋。</w:t>
            </w:r>
          </w:p>
          <w:p w14:paraId="0D238A5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188）已设传递窗的实验室要保证传递窗功能正常，内部不存放物品；室外排风口应有防风、防雨、防鼠、防虫设计，但不影响气体向上空排放。相关实验室采取有效措施防止昆虫、啮齿动物进入或逃逸，如安装防虫纱窗、挡鼠板等。</w:t>
            </w:r>
          </w:p>
          <w:p w14:paraId="3C4A7F2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（189）生物安全实验室配有压力蒸汽灭菌器，按规定要求监测灭菌效果</w:t>
            </w:r>
          </w:p>
        </w:tc>
        <w:tc>
          <w:tcPr>
            <w:tcW w:w="2543" w:type="dxa"/>
            <w:tcMar>
              <w:left w:w="45" w:type="dxa"/>
              <w:right w:w="45" w:type="dxa"/>
            </w:tcMar>
            <w:vAlign w:val="center"/>
          </w:tcPr>
          <w:p w14:paraId="7D3C997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rPr>
            </w:pPr>
          </w:p>
        </w:tc>
      </w:tr>
      <w:tr w14:paraId="6681C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041320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10.2.3</w:t>
            </w:r>
          </w:p>
        </w:tc>
        <w:tc>
          <w:tcPr>
            <w:tcW w:w="3703" w:type="dxa"/>
            <w:tcMar>
              <w:left w:w="45" w:type="dxa"/>
              <w:right w:w="45" w:type="dxa"/>
            </w:tcMar>
            <w:vAlign w:val="center"/>
          </w:tcPr>
          <w:p w14:paraId="366C377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保证消毒和灭菌效果，并注意人员安全</w:t>
            </w:r>
          </w:p>
        </w:tc>
        <w:tc>
          <w:tcPr>
            <w:tcW w:w="7777" w:type="dxa"/>
            <w:tcMar>
              <w:left w:w="45" w:type="dxa"/>
              <w:right w:w="45" w:type="dxa"/>
            </w:tcMar>
            <w:vAlign w:val="center"/>
          </w:tcPr>
          <w:p w14:paraId="4070158F">
            <w:pPr>
              <w:pageBreakBefore w:val="0"/>
              <w:widowControl/>
              <w:kinsoku/>
              <w:wordWrap/>
              <w:overflowPunct/>
              <w:topLinePunct w:val="0"/>
              <w:bidi w:val="0"/>
              <w:snapToGrid/>
              <w:spacing w:after="0" w:line="300" w:lineRule="exact"/>
              <w:textAlignment w:val="auto"/>
              <w:rPr>
                <w:rFonts w:hint="eastAsia" w:ascii="Times New Roman" w:hAnsi="Times New Roman" w:eastAsia="仿宋_GB2312" w:cs="Times New Roman"/>
                <w:color w:val="auto"/>
                <w:kern w:val="0"/>
                <w:szCs w:val="21"/>
                <w:lang w:eastAsia="zh-CN"/>
              </w:rPr>
            </w:pPr>
            <w:r>
              <w:rPr>
                <w:rFonts w:hint="default" w:ascii="Times New Roman" w:hAnsi="Times New Roman" w:eastAsia="仿宋_GB2312" w:cs="Times New Roman"/>
                <w:color w:val="auto"/>
                <w:kern w:val="0"/>
                <w:szCs w:val="21"/>
              </w:rPr>
              <w:t>（190）有消毒灭菌制度，根据不同病原微生物选择适宜的消毒灭菌方法</w:t>
            </w:r>
            <w:r>
              <w:rPr>
                <w:rFonts w:hint="eastAsia" w:eastAsia="仿宋_GB2312" w:cs="Times New Roman"/>
                <w:color w:val="auto"/>
                <w:kern w:val="0"/>
                <w:szCs w:val="21"/>
                <w:lang w:eastAsia="zh-CN"/>
              </w:rPr>
              <w:t>。</w:t>
            </w:r>
          </w:p>
          <w:p w14:paraId="00D858C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191）使用紫外灯的生物安全实验室应设安全警示标志，尤其要对紫外灯开关张贴警示标识，紫外灯消毒过程中禁止人员进入。采用产生有害气体的消毒方式时应在消毒时间结束后有一定的排风时间，有害气体消散后人员方可进入</w:t>
            </w:r>
          </w:p>
        </w:tc>
        <w:tc>
          <w:tcPr>
            <w:tcW w:w="2543" w:type="dxa"/>
            <w:tcMar>
              <w:left w:w="45" w:type="dxa"/>
              <w:right w:w="45" w:type="dxa"/>
            </w:tcMar>
            <w:vAlign w:val="center"/>
          </w:tcPr>
          <w:p w14:paraId="2A35070F">
            <w:pPr>
              <w:pStyle w:val="6"/>
              <w:pageBreakBefore w:val="0"/>
              <w:kinsoku/>
              <w:wordWrap/>
              <w:overflowPunct/>
              <w:topLinePunct w:val="0"/>
              <w:bidi w:val="0"/>
              <w:snapToGrid/>
              <w:spacing w:after="0"/>
              <w:jc w:val="both"/>
              <w:textAlignment w:val="auto"/>
              <w:rPr>
                <w:rFonts w:hint="default" w:ascii="Times New Roman" w:hAnsi="Times New Roman" w:eastAsia="仿宋_GB2312" w:cs="Times New Roman"/>
                <w:color w:val="auto"/>
              </w:rPr>
            </w:pPr>
          </w:p>
        </w:tc>
      </w:tr>
      <w:tr w14:paraId="3B274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AD9B86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10.3</w:t>
            </w:r>
          </w:p>
        </w:tc>
        <w:tc>
          <w:tcPr>
            <w:tcW w:w="14023" w:type="dxa"/>
            <w:gridSpan w:val="3"/>
            <w:tcMar>
              <w:left w:w="45" w:type="dxa"/>
              <w:right w:w="45" w:type="dxa"/>
            </w:tcMar>
            <w:vAlign w:val="center"/>
          </w:tcPr>
          <w:p w14:paraId="6C2BBBB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b/>
                <w:bCs/>
                <w:color w:val="auto"/>
                <w:kern w:val="0"/>
                <w:szCs w:val="21"/>
              </w:rPr>
              <w:t>病原微生物获取与保管</w:t>
            </w:r>
          </w:p>
        </w:tc>
      </w:tr>
      <w:tr w14:paraId="02106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E5A4B5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10.3.1</w:t>
            </w:r>
          </w:p>
        </w:tc>
        <w:tc>
          <w:tcPr>
            <w:tcW w:w="3703" w:type="dxa"/>
            <w:tcMar>
              <w:left w:w="45" w:type="dxa"/>
              <w:right w:w="45" w:type="dxa"/>
            </w:tcMar>
            <w:vAlign w:val="center"/>
          </w:tcPr>
          <w:p w14:paraId="7CD2C4F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使用高致病性病原微生物菌（毒）种，须办理相应申请和报批手续</w:t>
            </w:r>
          </w:p>
        </w:tc>
        <w:tc>
          <w:tcPr>
            <w:tcW w:w="7777" w:type="dxa"/>
            <w:tcMar>
              <w:left w:w="45" w:type="dxa"/>
              <w:right w:w="45" w:type="dxa"/>
            </w:tcMar>
            <w:vAlign w:val="center"/>
          </w:tcPr>
          <w:p w14:paraId="51F2FCB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（192）合规获取病原微生物菌（毒）株，学校应有审批流程。</w:t>
            </w:r>
          </w:p>
          <w:p w14:paraId="7158514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（193）转移和运输高致病病原微生物须按规定报卫生健康或农业农村主管部门批准，并按相应的运输包装要求包装后转移和运输</w:t>
            </w:r>
          </w:p>
        </w:tc>
        <w:tc>
          <w:tcPr>
            <w:tcW w:w="2543" w:type="dxa"/>
            <w:tcMar>
              <w:left w:w="45" w:type="dxa"/>
              <w:right w:w="45" w:type="dxa"/>
            </w:tcMar>
            <w:vAlign w:val="center"/>
          </w:tcPr>
          <w:p w14:paraId="4CEE15C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r>
      <w:tr w14:paraId="0BA38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6C6DFF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10.3.2</w:t>
            </w:r>
          </w:p>
        </w:tc>
        <w:tc>
          <w:tcPr>
            <w:tcW w:w="3703" w:type="dxa"/>
            <w:tcMar>
              <w:left w:w="45" w:type="dxa"/>
              <w:right w:w="45" w:type="dxa"/>
            </w:tcMar>
            <w:vAlign w:val="center"/>
          </w:tcPr>
          <w:p w14:paraId="33F3652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高致病性病原微生物菌（毒）种应妥善保存和严格管理</w:t>
            </w:r>
          </w:p>
        </w:tc>
        <w:tc>
          <w:tcPr>
            <w:tcW w:w="7777" w:type="dxa"/>
            <w:tcMar>
              <w:left w:w="45" w:type="dxa"/>
              <w:right w:w="45" w:type="dxa"/>
            </w:tcMar>
            <w:vAlign w:val="center"/>
          </w:tcPr>
          <w:p w14:paraId="52012ED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（194）病原微生物菌（毒）种保存在带锁的冰箱中，高致病性病原微生物实行双人双锁管理。有病原微生物菌（毒）种保存、实验使用、销毁的记录</w:t>
            </w:r>
          </w:p>
        </w:tc>
        <w:tc>
          <w:tcPr>
            <w:tcW w:w="2543" w:type="dxa"/>
            <w:tcMar>
              <w:left w:w="45" w:type="dxa"/>
              <w:right w:w="45" w:type="dxa"/>
            </w:tcMar>
            <w:vAlign w:val="center"/>
          </w:tcPr>
          <w:p w14:paraId="26F6D05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2070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DE2CF7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10.4</w:t>
            </w:r>
          </w:p>
        </w:tc>
        <w:tc>
          <w:tcPr>
            <w:tcW w:w="14023" w:type="dxa"/>
            <w:gridSpan w:val="3"/>
            <w:tcMar>
              <w:left w:w="45" w:type="dxa"/>
              <w:right w:w="45" w:type="dxa"/>
            </w:tcMar>
            <w:vAlign w:val="center"/>
          </w:tcPr>
          <w:p w14:paraId="5EFEEFF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人员管理</w:t>
            </w:r>
          </w:p>
        </w:tc>
      </w:tr>
      <w:tr w14:paraId="12283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C3D609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10.4.1</w:t>
            </w:r>
          </w:p>
        </w:tc>
        <w:tc>
          <w:tcPr>
            <w:tcW w:w="3703" w:type="dxa"/>
            <w:tcMar>
              <w:left w:w="45" w:type="dxa"/>
              <w:right w:w="45" w:type="dxa"/>
            </w:tcMar>
            <w:vAlign w:val="center"/>
          </w:tcPr>
          <w:p w14:paraId="299DA93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开展病原微生物相关实验和研究的人员经过专业培训</w:t>
            </w:r>
          </w:p>
        </w:tc>
        <w:tc>
          <w:tcPr>
            <w:tcW w:w="7777" w:type="dxa"/>
            <w:tcMar>
              <w:left w:w="45" w:type="dxa"/>
              <w:right w:w="45" w:type="dxa"/>
            </w:tcMar>
            <w:vAlign w:val="center"/>
          </w:tcPr>
          <w:p w14:paraId="11B38F6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（195）人员经考核合格，并取得证书。</w:t>
            </w:r>
          </w:p>
        </w:tc>
        <w:tc>
          <w:tcPr>
            <w:tcW w:w="2543" w:type="dxa"/>
            <w:tcMar>
              <w:left w:w="45" w:type="dxa"/>
              <w:right w:w="45" w:type="dxa"/>
            </w:tcMar>
            <w:vAlign w:val="center"/>
          </w:tcPr>
          <w:p w14:paraId="3A03B67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28481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929265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10.4.2</w:t>
            </w:r>
          </w:p>
        </w:tc>
        <w:tc>
          <w:tcPr>
            <w:tcW w:w="3703" w:type="dxa"/>
            <w:tcMar>
              <w:left w:w="45" w:type="dxa"/>
              <w:right w:w="45" w:type="dxa"/>
            </w:tcMar>
            <w:vAlign w:val="center"/>
          </w:tcPr>
          <w:p w14:paraId="65B2F15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从事高致病性病原微生物相关实验活动的实验室，应当对实验室工作人员进行健康监测</w:t>
            </w:r>
          </w:p>
        </w:tc>
        <w:tc>
          <w:tcPr>
            <w:tcW w:w="7777" w:type="dxa"/>
            <w:tcMar>
              <w:left w:w="45" w:type="dxa"/>
              <w:right w:w="45" w:type="dxa"/>
            </w:tcMar>
            <w:vAlign w:val="center"/>
          </w:tcPr>
          <w:p w14:paraId="4489CE2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（196）实施健康监测和治疗方案，并妥善保存相应的医学记录。</w:t>
            </w:r>
            <w:r>
              <w:rPr>
                <w:rFonts w:hint="default" w:ascii="Times New Roman" w:hAnsi="Times New Roman" w:eastAsia="仿宋_GB2312" w:cs="Times New Roman"/>
                <w:bCs/>
                <w:color w:val="auto"/>
                <w:kern w:val="0"/>
                <w:szCs w:val="21"/>
              </w:rPr>
              <w:t>有上岗前体检和离岗体检，长期工作有定期体检</w:t>
            </w:r>
          </w:p>
        </w:tc>
        <w:tc>
          <w:tcPr>
            <w:tcW w:w="2543" w:type="dxa"/>
            <w:tcMar>
              <w:left w:w="45" w:type="dxa"/>
              <w:right w:w="45" w:type="dxa"/>
            </w:tcMar>
            <w:vAlign w:val="center"/>
          </w:tcPr>
          <w:p w14:paraId="695E462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4193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B1FD6E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10.4.3</w:t>
            </w:r>
          </w:p>
        </w:tc>
        <w:tc>
          <w:tcPr>
            <w:tcW w:w="3703" w:type="dxa"/>
            <w:tcMar>
              <w:left w:w="45" w:type="dxa"/>
              <w:right w:w="45" w:type="dxa"/>
            </w:tcMar>
            <w:vAlign w:val="center"/>
          </w:tcPr>
          <w:p w14:paraId="07F9F7D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制定相应的人员准入制度</w:t>
            </w:r>
          </w:p>
        </w:tc>
        <w:tc>
          <w:tcPr>
            <w:tcW w:w="7777" w:type="dxa"/>
            <w:tcMar>
              <w:left w:w="45" w:type="dxa"/>
              <w:right w:w="45" w:type="dxa"/>
            </w:tcMar>
            <w:vAlign w:val="center"/>
          </w:tcPr>
          <w:p w14:paraId="7A0193F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（197）外来人员进入生物安全实验室须经负责人批准，并有相关的教育培训、安全防控措施</w:t>
            </w:r>
            <w:r>
              <w:rPr>
                <w:rFonts w:hint="default" w:ascii="Times New Roman" w:hAnsi="Times New Roman" w:eastAsia="仿宋_GB2312" w:cs="Times New Roman"/>
                <w:bCs/>
                <w:color w:val="auto"/>
                <w:kern w:val="0"/>
                <w:szCs w:val="21"/>
              </w:rPr>
              <w:t>。出现感冒发热等症状时，不得进行病原微生物实验</w:t>
            </w:r>
          </w:p>
        </w:tc>
        <w:tc>
          <w:tcPr>
            <w:tcW w:w="2543" w:type="dxa"/>
            <w:tcMar>
              <w:left w:w="45" w:type="dxa"/>
              <w:right w:w="45" w:type="dxa"/>
            </w:tcMar>
            <w:vAlign w:val="center"/>
          </w:tcPr>
          <w:p w14:paraId="54A6739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0A78E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7FD0E0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10.5</w:t>
            </w:r>
          </w:p>
        </w:tc>
        <w:tc>
          <w:tcPr>
            <w:tcW w:w="14023" w:type="dxa"/>
            <w:gridSpan w:val="3"/>
            <w:tcMar>
              <w:left w:w="45" w:type="dxa"/>
              <w:right w:w="45" w:type="dxa"/>
            </w:tcMar>
            <w:vAlign w:val="center"/>
          </w:tcPr>
          <w:p w14:paraId="33D213D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操作与管理</w:t>
            </w:r>
          </w:p>
        </w:tc>
      </w:tr>
      <w:tr w14:paraId="1CB07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71CB4C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10.5.1</w:t>
            </w:r>
          </w:p>
        </w:tc>
        <w:tc>
          <w:tcPr>
            <w:tcW w:w="3703" w:type="dxa"/>
            <w:tcMar>
              <w:left w:w="45" w:type="dxa"/>
              <w:right w:w="45" w:type="dxa"/>
            </w:tcMar>
            <w:vAlign w:val="center"/>
          </w:tcPr>
          <w:p w14:paraId="148A8C0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制定并采用生物安全手册，有相关标准操作规范</w:t>
            </w:r>
          </w:p>
        </w:tc>
        <w:tc>
          <w:tcPr>
            <w:tcW w:w="7777" w:type="dxa"/>
            <w:tcMar>
              <w:left w:w="45" w:type="dxa"/>
              <w:right w:w="45" w:type="dxa"/>
            </w:tcMar>
            <w:vAlign w:val="center"/>
          </w:tcPr>
          <w:p w14:paraId="1BD0A26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（198）有从事病原微生物相关实验活动的标准操作规范</w:t>
            </w:r>
          </w:p>
        </w:tc>
        <w:tc>
          <w:tcPr>
            <w:tcW w:w="2543" w:type="dxa"/>
            <w:tcMar>
              <w:left w:w="45" w:type="dxa"/>
              <w:right w:w="45" w:type="dxa"/>
            </w:tcMar>
            <w:vAlign w:val="center"/>
          </w:tcPr>
          <w:p w14:paraId="63E5E95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AE8E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AA4042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10.5.2</w:t>
            </w:r>
          </w:p>
        </w:tc>
        <w:tc>
          <w:tcPr>
            <w:tcW w:w="3703" w:type="dxa"/>
            <w:tcMar>
              <w:left w:w="45" w:type="dxa"/>
              <w:right w:w="45" w:type="dxa"/>
            </w:tcMar>
            <w:vAlign w:val="center"/>
          </w:tcPr>
          <w:p w14:paraId="221B24B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开展相关实验活动的风险评估和制定相应的应急预案</w:t>
            </w:r>
          </w:p>
        </w:tc>
        <w:tc>
          <w:tcPr>
            <w:tcW w:w="7777" w:type="dxa"/>
            <w:tcMar>
              <w:left w:w="45" w:type="dxa"/>
              <w:right w:w="45" w:type="dxa"/>
            </w:tcMar>
            <w:vAlign w:val="center"/>
          </w:tcPr>
          <w:p w14:paraId="44366BB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（199）</w:t>
            </w:r>
            <w:r>
              <w:rPr>
                <w:rFonts w:hint="default" w:ascii="Times New Roman" w:hAnsi="Times New Roman" w:eastAsia="仿宋_GB2312" w:cs="Times New Roman"/>
                <w:b/>
                <w:bCs/>
                <w:color w:val="auto"/>
                <w:kern w:val="0"/>
                <w:szCs w:val="21"/>
              </w:rPr>
              <w:t>开展病原微生物的相关实验活动应有风险评估和应急预案，包括</w:t>
            </w:r>
            <w:r>
              <w:rPr>
                <w:rFonts w:hint="default" w:ascii="Times New Roman" w:hAnsi="Times New Roman" w:eastAsia="仿宋_GB2312" w:cs="Times New Roman"/>
                <w:b/>
                <w:bCs/>
                <w:color w:val="auto"/>
                <w:szCs w:val="21"/>
              </w:rPr>
              <w:t>病原微生物及感染材料溢洒和意外事故的书面处置程序</w:t>
            </w:r>
          </w:p>
        </w:tc>
        <w:tc>
          <w:tcPr>
            <w:tcW w:w="2543" w:type="dxa"/>
            <w:tcMar>
              <w:left w:w="45" w:type="dxa"/>
              <w:right w:w="45" w:type="dxa"/>
            </w:tcMar>
            <w:vAlign w:val="center"/>
          </w:tcPr>
          <w:p w14:paraId="6194ECD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8F73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05B626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10.5.3</w:t>
            </w:r>
          </w:p>
        </w:tc>
        <w:tc>
          <w:tcPr>
            <w:tcW w:w="3703" w:type="dxa"/>
            <w:tcMar>
              <w:left w:w="45" w:type="dxa"/>
              <w:right w:w="45" w:type="dxa"/>
            </w:tcMar>
            <w:vAlign w:val="center"/>
          </w:tcPr>
          <w:p w14:paraId="4B4E3AA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实验操作合规，安全防护措施合理</w:t>
            </w:r>
          </w:p>
        </w:tc>
        <w:tc>
          <w:tcPr>
            <w:tcW w:w="7777" w:type="dxa"/>
            <w:tcMar>
              <w:left w:w="45" w:type="dxa"/>
              <w:right w:w="45" w:type="dxa"/>
            </w:tcMar>
            <w:vAlign w:val="center"/>
          </w:tcPr>
          <w:p w14:paraId="5849583F">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（200）在合适的生物安全柜中进行实验操作</w:t>
            </w:r>
            <w:r>
              <w:rPr>
                <w:rFonts w:hint="default" w:ascii="Times New Roman" w:hAnsi="Times New Roman" w:eastAsia="仿宋_GB2312" w:cs="Times New Roman"/>
                <w:bCs/>
                <w:color w:val="auto"/>
                <w:kern w:val="0"/>
                <w:szCs w:val="21"/>
              </w:rPr>
              <w:t>，不得在超净工作台中进行病原微生物实验。</w:t>
            </w:r>
          </w:p>
          <w:p w14:paraId="37663890">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bCs/>
                <w:color w:val="auto"/>
                <w:kern w:val="0"/>
                <w:szCs w:val="21"/>
              </w:rPr>
              <w:t>（201）应按标准操作规程</w:t>
            </w:r>
            <w:r>
              <w:rPr>
                <w:rFonts w:hint="default" w:ascii="Times New Roman" w:hAnsi="Times New Roman" w:eastAsia="仿宋_GB2312" w:cs="Times New Roman"/>
                <w:color w:val="auto"/>
                <w:kern w:val="0"/>
                <w:szCs w:val="21"/>
              </w:rPr>
              <w:t>安全操作高速离心机等设备，小心防止离心管破损或盖子破裂造成溢洒或气溶胶扩散。</w:t>
            </w:r>
          </w:p>
          <w:p w14:paraId="70908998">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（202）有合适的个体防护措施，</w:t>
            </w:r>
            <w:r>
              <w:rPr>
                <w:rFonts w:hint="default" w:ascii="Times New Roman" w:hAnsi="Times New Roman" w:eastAsia="仿宋_GB2312" w:cs="Times New Roman"/>
                <w:color w:val="auto"/>
                <w:szCs w:val="21"/>
              </w:rPr>
              <w:t>禁止戴防护手套操作</w:t>
            </w:r>
            <w:r>
              <w:rPr>
                <w:rFonts w:hint="default" w:ascii="Times New Roman" w:hAnsi="Times New Roman" w:eastAsia="仿宋_GB2312" w:cs="Times New Roman"/>
                <w:color w:val="auto"/>
              </w:rPr>
              <w:t>相关实验以外的</w:t>
            </w:r>
            <w:r>
              <w:rPr>
                <w:rFonts w:hint="default" w:ascii="Times New Roman" w:hAnsi="Times New Roman" w:eastAsia="仿宋_GB2312" w:cs="Times New Roman"/>
                <w:color w:val="auto"/>
                <w:szCs w:val="21"/>
              </w:rPr>
              <w:t>设施设备</w:t>
            </w:r>
          </w:p>
        </w:tc>
        <w:tc>
          <w:tcPr>
            <w:tcW w:w="2543" w:type="dxa"/>
            <w:tcMar>
              <w:left w:w="45" w:type="dxa"/>
              <w:right w:w="45" w:type="dxa"/>
            </w:tcMar>
            <w:vAlign w:val="center"/>
          </w:tcPr>
          <w:p w14:paraId="6EAA96EC">
            <w:pPr>
              <w:pStyle w:val="55"/>
              <w:pageBreakBefore w:val="0"/>
              <w:kinsoku/>
              <w:wordWrap/>
              <w:overflowPunct/>
              <w:topLinePunct w:val="0"/>
              <w:bidi w:val="0"/>
              <w:snapToGrid/>
              <w:spacing w:after="0" w:line="360" w:lineRule="auto"/>
              <w:ind w:firstLine="0" w:firstLineChars="0"/>
              <w:textAlignment w:val="auto"/>
              <w:rPr>
                <w:rFonts w:hint="default" w:ascii="Times New Roman" w:hAnsi="Times New Roman" w:eastAsia="仿宋_GB2312" w:cs="Times New Roman"/>
                <w:bCs/>
                <w:color w:val="auto"/>
                <w:kern w:val="0"/>
              </w:rPr>
            </w:pPr>
          </w:p>
        </w:tc>
      </w:tr>
      <w:tr w14:paraId="11AC1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3C9B77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10.6</w:t>
            </w:r>
          </w:p>
        </w:tc>
        <w:tc>
          <w:tcPr>
            <w:tcW w:w="14023" w:type="dxa"/>
            <w:gridSpan w:val="3"/>
            <w:tcMar>
              <w:left w:w="45" w:type="dxa"/>
              <w:right w:w="45" w:type="dxa"/>
            </w:tcMar>
            <w:vAlign w:val="center"/>
          </w:tcPr>
          <w:p w14:paraId="1EB2554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
                <w:color w:val="auto"/>
                <w:kern w:val="0"/>
                <w:szCs w:val="21"/>
              </w:rPr>
              <w:t>实验动物安全</w:t>
            </w:r>
          </w:p>
        </w:tc>
      </w:tr>
      <w:tr w14:paraId="0C4AB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36A7F0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10.6.1</w:t>
            </w:r>
          </w:p>
        </w:tc>
        <w:tc>
          <w:tcPr>
            <w:tcW w:w="3703" w:type="dxa"/>
            <w:tcMar>
              <w:left w:w="45" w:type="dxa"/>
              <w:right w:w="45" w:type="dxa"/>
            </w:tcMar>
            <w:vAlign w:val="center"/>
          </w:tcPr>
          <w:p w14:paraId="13C6B22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实验动物的购买、饲养、解剖等须符合相关规定</w:t>
            </w:r>
          </w:p>
        </w:tc>
        <w:tc>
          <w:tcPr>
            <w:tcW w:w="7777" w:type="dxa"/>
            <w:tcMar>
              <w:left w:w="45" w:type="dxa"/>
              <w:right w:w="45" w:type="dxa"/>
            </w:tcMar>
            <w:vAlign w:val="center"/>
          </w:tcPr>
          <w:p w14:paraId="5C844F7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（203）饲养实验动物的场所应有资质证书，实验动物须从具有资质的单位购买，有合格证明，</w:t>
            </w:r>
            <w:r>
              <w:rPr>
                <w:rFonts w:hint="default" w:ascii="Times New Roman" w:hAnsi="Times New Roman" w:eastAsia="仿宋_GB2312" w:cs="Times New Roman"/>
                <w:color w:val="auto"/>
                <w:szCs w:val="21"/>
              </w:rPr>
              <w:t>用于解剖的实验动物须经过检验检疫合格。</w:t>
            </w:r>
          </w:p>
          <w:p w14:paraId="004DA8F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（204）解剖实验动物时，必须做好个人安全防护。</w:t>
            </w:r>
          </w:p>
          <w:p w14:paraId="2229464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（205）对直接接触实验动物的工作人员，须定期组织健康检查</w:t>
            </w:r>
          </w:p>
        </w:tc>
        <w:tc>
          <w:tcPr>
            <w:tcW w:w="2543" w:type="dxa"/>
            <w:tcMar>
              <w:left w:w="45" w:type="dxa"/>
              <w:right w:w="45" w:type="dxa"/>
            </w:tcMar>
            <w:vAlign w:val="center"/>
          </w:tcPr>
          <w:p w14:paraId="25BF902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EC20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92E22E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10.6.2</w:t>
            </w:r>
          </w:p>
        </w:tc>
        <w:tc>
          <w:tcPr>
            <w:tcW w:w="3703" w:type="dxa"/>
            <w:tcMar>
              <w:left w:w="45" w:type="dxa"/>
              <w:right w:w="45" w:type="dxa"/>
            </w:tcMar>
            <w:vAlign w:val="center"/>
          </w:tcPr>
          <w:p w14:paraId="49BDB1F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动物实验按相关规定进行实验动物福利伦理审查</w:t>
            </w:r>
          </w:p>
        </w:tc>
        <w:tc>
          <w:tcPr>
            <w:tcW w:w="7777" w:type="dxa"/>
            <w:tcMar>
              <w:left w:w="45" w:type="dxa"/>
              <w:right w:w="45" w:type="dxa"/>
            </w:tcMar>
            <w:vAlign w:val="center"/>
          </w:tcPr>
          <w:p w14:paraId="761D804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（206）学校有实验动物福利伦理审查机构，查看审查记录</w:t>
            </w:r>
          </w:p>
        </w:tc>
        <w:tc>
          <w:tcPr>
            <w:tcW w:w="2543" w:type="dxa"/>
            <w:tcMar>
              <w:left w:w="45" w:type="dxa"/>
              <w:right w:w="45" w:type="dxa"/>
            </w:tcMar>
            <w:vAlign w:val="center"/>
          </w:tcPr>
          <w:p w14:paraId="4E13C53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FA66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A5ECFF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10.7</w:t>
            </w:r>
          </w:p>
        </w:tc>
        <w:tc>
          <w:tcPr>
            <w:tcW w:w="14023" w:type="dxa"/>
            <w:gridSpan w:val="3"/>
            <w:tcMar>
              <w:left w:w="45" w:type="dxa"/>
              <w:right w:w="45" w:type="dxa"/>
            </w:tcMar>
            <w:vAlign w:val="center"/>
          </w:tcPr>
          <w:p w14:paraId="6485A67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生物实验废物处置</w:t>
            </w:r>
          </w:p>
        </w:tc>
      </w:tr>
      <w:tr w14:paraId="58D8F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E302FB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10.7.1</w:t>
            </w:r>
          </w:p>
        </w:tc>
        <w:tc>
          <w:tcPr>
            <w:tcW w:w="3703" w:type="dxa"/>
            <w:tcMar>
              <w:left w:w="45" w:type="dxa"/>
              <w:right w:w="45" w:type="dxa"/>
            </w:tcMar>
            <w:vAlign w:val="center"/>
          </w:tcPr>
          <w:p w14:paraId="0FFE2DF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生物废弃物的中转和处置规范</w:t>
            </w:r>
          </w:p>
        </w:tc>
        <w:tc>
          <w:tcPr>
            <w:tcW w:w="7777" w:type="dxa"/>
            <w:tcMar>
              <w:left w:w="45" w:type="dxa"/>
              <w:right w:w="45" w:type="dxa"/>
            </w:tcMar>
            <w:vAlign w:val="center"/>
          </w:tcPr>
          <w:p w14:paraId="46CA0345">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（207）学校与有资质的单位签约处置感染性废物，有交接记录，形成电子或者纸质台账。</w:t>
            </w:r>
          </w:p>
          <w:p w14:paraId="1B822659">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（208）学校有生物废弃物中转站或收集点，生物废物及时收集转运</w:t>
            </w:r>
          </w:p>
        </w:tc>
        <w:tc>
          <w:tcPr>
            <w:tcW w:w="2543" w:type="dxa"/>
            <w:tcMar>
              <w:left w:w="45" w:type="dxa"/>
              <w:right w:w="45" w:type="dxa"/>
            </w:tcMar>
            <w:vAlign w:val="center"/>
          </w:tcPr>
          <w:p w14:paraId="232E61B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48C91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0B00FA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10.7.2</w:t>
            </w:r>
          </w:p>
        </w:tc>
        <w:tc>
          <w:tcPr>
            <w:tcW w:w="3703" w:type="dxa"/>
            <w:tcMar>
              <w:left w:w="45" w:type="dxa"/>
              <w:right w:w="45" w:type="dxa"/>
            </w:tcMar>
            <w:vAlign w:val="center"/>
          </w:tcPr>
          <w:p w14:paraId="61AFF6A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生物废弃物与其他类别废物分开，并且做好防护和消杀</w:t>
            </w:r>
          </w:p>
        </w:tc>
        <w:tc>
          <w:tcPr>
            <w:tcW w:w="7777" w:type="dxa"/>
            <w:tcMar>
              <w:left w:w="45" w:type="dxa"/>
              <w:right w:w="45" w:type="dxa"/>
            </w:tcMar>
            <w:vAlign w:val="center"/>
          </w:tcPr>
          <w:p w14:paraId="363DE832">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（209）生物废物应与化学废物、生活垃圾等分开贮存。</w:t>
            </w:r>
          </w:p>
          <w:p w14:paraId="6FEDB3DC">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（210）实验室内配备生物废物垃圾桶（内置</w:t>
            </w:r>
            <w:r>
              <w:rPr>
                <w:rFonts w:hint="default" w:ascii="Times New Roman" w:hAnsi="Times New Roman" w:eastAsia="仿宋_GB2312" w:cs="Times New Roman"/>
                <w:color w:val="auto"/>
                <w:kern w:val="0"/>
              </w:rPr>
              <w:t>生物废物专用</w:t>
            </w:r>
            <w:r>
              <w:rPr>
                <w:rFonts w:hint="default" w:ascii="Times New Roman" w:hAnsi="Times New Roman" w:eastAsia="仿宋_GB2312" w:cs="Times New Roman"/>
                <w:color w:val="auto"/>
                <w:kern w:val="0"/>
                <w:szCs w:val="21"/>
              </w:rPr>
              <w:t>塑料袋），并粘贴专用标签标识。</w:t>
            </w:r>
          </w:p>
          <w:p w14:paraId="70FBFF5C">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（211）刀片、移液枪头等尖锐物应使用利器盒或耐扎纸板箱盛放，送储时再装入生物废物专用塑料袋，贴好标签。</w:t>
            </w:r>
          </w:p>
          <w:p w14:paraId="69C6FB26">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（212）动物实验结束后，动物尸体及组织应做无害化处理，感染性废物彻底灭菌后方可处置。</w:t>
            </w:r>
          </w:p>
          <w:p w14:paraId="56AEBB22">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（213）涉及病原微生物或其他感染性生物废物必须进行高温高压灭菌或化学浸泡处理，然后由有资质的公司进行最终处置，并保留记录。</w:t>
            </w:r>
          </w:p>
          <w:p w14:paraId="04A4A9F3">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（214）高致病性生物材料废物处置实现溯源追踪</w:t>
            </w:r>
          </w:p>
        </w:tc>
        <w:tc>
          <w:tcPr>
            <w:tcW w:w="2543" w:type="dxa"/>
            <w:tcMar>
              <w:left w:w="45" w:type="dxa"/>
              <w:right w:w="45" w:type="dxa"/>
            </w:tcMar>
            <w:vAlign w:val="center"/>
          </w:tcPr>
          <w:p w14:paraId="59A2284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rPr>
            </w:pPr>
          </w:p>
        </w:tc>
      </w:tr>
      <w:tr w14:paraId="30509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954472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11</w:t>
            </w:r>
          </w:p>
        </w:tc>
        <w:tc>
          <w:tcPr>
            <w:tcW w:w="14023" w:type="dxa"/>
            <w:gridSpan w:val="3"/>
            <w:tcMar>
              <w:left w:w="45" w:type="dxa"/>
              <w:right w:w="45" w:type="dxa"/>
            </w:tcMar>
            <w:vAlign w:val="center"/>
          </w:tcPr>
          <w:p w14:paraId="733E0E7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辐射安全与核材料管制</w:t>
            </w:r>
          </w:p>
        </w:tc>
      </w:tr>
      <w:tr w14:paraId="75109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6BA713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11.1</w:t>
            </w:r>
          </w:p>
        </w:tc>
        <w:tc>
          <w:tcPr>
            <w:tcW w:w="14023" w:type="dxa"/>
            <w:gridSpan w:val="3"/>
            <w:tcMar>
              <w:left w:w="45" w:type="dxa"/>
              <w:right w:w="45" w:type="dxa"/>
            </w:tcMar>
            <w:vAlign w:val="center"/>
          </w:tcPr>
          <w:p w14:paraId="7FE21A5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资质与人员要求</w:t>
            </w:r>
          </w:p>
        </w:tc>
      </w:tr>
      <w:tr w14:paraId="36768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F7E0C7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11.1.1</w:t>
            </w:r>
          </w:p>
        </w:tc>
        <w:tc>
          <w:tcPr>
            <w:tcW w:w="3703" w:type="dxa"/>
            <w:tcMar>
              <w:left w:w="45" w:type="dxa"/>
              <w:right w:w="45" w:type="dxa"/>
            </w:tcMar>
            <w:vAlign w:val="center"/>
          </w:tcPr>
          <w:p w14:paraId="1E59722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color w:val="auto"/>
                <w:szCs w:val="21"/>
              </w:rPr>
              <w:t>辐射工作</w:t>
            </w:r>
            <w:r>
              <w:rPr>
                <w:rFonts w:hint="default" w:ascii="Times New Roman" w:hAnsi="Times New Roman" w:eastAsia="仿宋_GB2312" w:cs="Times New Roman"/>
                <w:bCs/>
                <w:color w:val="auto"/>
                <w:kern w:val="0"/>
                <w:szCs w:val="21"/>
              </w:rPr>
              <w:t>单位须</w:t>
            </w:r>
            <w:r>
              <w:rPr>
                <w:rFonts w:hint="default" w:ascii="Times New Roman" w:hAnsi="Times New Roman" w:eastAsia="仿宋_GB2312" w:cs="Times New Roman"/>
                <w:color w:val="auto"/>
                <w:kern w:val="0"/>
                <w:szCs w:val="21"/>
              </w:rPr>
              <w:t>取得辐射安全许可证</w:t>
            </w:r>
          </w:p>
        </w:tc>
        <w:tc>
          <w:tcPr>
            <w:tcW w:w="7777" w:type="dxa"/>
            <w:tcMar>
              <w:left w:w="45" w:type="dxa"/>
              <w:right w:w="45" w:type="dxa"/>
            </w:tcMar>
            <w:vAlign w:val="center"/>
          </w:tcPr>
          <w:p w14:paraId="0ABDC69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（215）按辐射安全许可证规定的活动种类和范围，在许可的辐射活动场所内开展辐射类实验。除已被生态环境部门豁免管理外，射线装置、放射源或者非密封放射性物质应申领辐射安全许可证</w:t>
            </w:r>
          </w:p>
        </w:tc>
        <w:tc>
          <w:tcPr>
            <w:tcW w:w="2543" w:type="dxa"/>
            <w:tcMar>
              <w:left w:w="45" w:type="dxa"/>
              <w:right w:w="45" w:type="dxa"/>
            </w:tcMar>
            <w:vAlign w:val="center"/>
          </w:tcPr>
          <w:p w14:paraId="0BEAF4A2">
            <w:pPr>
              <w:pageBreakBefore w:val="0"/>
              <w:kinsoku/>
              <w:wordWrap/>
              <w:overflowPunct/>
              <w:topLinePunct w:val="0"/>
              <w:bidi w:val="0"/>
              <w:snapToGrid/>
              <w:spacing w:after="0" w:line="360" w:lineRule="auto"/>
              <w:textAlignment w:val="auto"/>
              <w:rPr>
                <w:rFonts w:hint="default" w:ascii="Times New Roman" w:hAnsi="Times New Roman" w:eastAsia="仿宋_GB2312" w:cs="Times New Roman"/>
                <w:color w:val="auto"/>
                <w:sz w:val="24"/>
              </w:rPr>
            </w:pPr>
          </w:p>
        </w:tc>
      </w:tr>
      <w:tr w14:paraId="4232C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D7842E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11.1.2</w:t>
            </w:r>
          </w:p>
        </w:tc>
        <w:tc>
          <w:tcPr>
            <w:tcW w:w="3703" w:type="dxa"/>
            <w:tcMar>
              <w:left w:w="45" w:type="dxa"/>
              <w:right w:w="45" w:type="dxa"/>
            </w:tcMar>
            <w:vAlign w:val="center"/>
          </w:tcPr>
          <w:p w14:paraId="414B6AE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辐射工作</w:t>
            </w:r>
            <w:r>
              <w:rPr>
                <w:rFonts w:hint="default" w:ascii="Times New Roman" w:hAnsi="Times New Roman" w:eastAsia="仿宋_GB2312" w:cs="Times New Roman"/>
                <w:color w:val="auto"/>
                <w:kern w:val="0"/>
                <w:szCs w:val="21"/>
              </w:rPr>
              <w:t>人员须经过专门培训，定期参加职业体检</w:t>
            </w:r>
          </w:p>
        </w:tc>
        <w:tc>
          <w:tcPr>
            <w:tcW w:w="7777" w:type="dxa"/>
            <w:tcMar>
              <w:left w:w="45" w:type="dxa"/>
              <w:right w:w="45" w:type="dxa"/>
            </w:tcMar>
            <w:vAlign w:val="center"/>
          </w:tcPr>
          <w:p w14:paraId="5DA3E11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（216）辐射工作人员应具有生态环境部组织考核的《核技术利用辐射安全与防护考核成绩报告单》，仅从事III类射线装置使用活动的人员可由所在单位自行组织考核。</w:t>
            </w:r>
          </w:p>
          <w:p w14:paraId="1B83F5F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（217）</w:t>
            </w:r>
            <w:r>
              <w:rPr>
                <w:rFonts w:hint="default" w:ascii="Times New Roman" w:hAnsi="Times New Roman" w:eastAsia="仿宋_GB2312" w:cs="Times New Roman"/>
                <w:color w:val="auto"/>
                <w:szCs w:val="21"/>
              </w:rPr>
              <w:t>辐射工作</w:t>
            </w:r>
            <w:r>
              <w:rPr>
                <w:rFonts w:hint="default" w:ascii="Times New Roman" w:hAnsi="Times New Roman" w:eastAsia="仿宋_GB2312" w:cs="Times New Roman"/>
                <w:color w:val="auto"/>
                <w:kern w:val="0"/>
                <w:szCs w:val="21"/>
              </w:rPr>
              <w:t>人员按时参加放射性职业体检（2年1次），有健康档案。</w:t>
            </w:r>
          </w:p>
          <w:p w14:paraId="451CD00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（218）</w:t>
            </w:r>
            <w:r>
              <w:rPr>
                <w:rFonts w:hint="default" w:ascii="Times New Roman" w:hAnsi="Times New Roman" w:eastAsia="仿宋_GB2312" w:cs="Times New Roman"/>
                <w:color w:val="auto"/>
                <w:szCs w:val="21"/>
              </w:rPr>
              <w:t>辐射工作</w:t>
            </w:r>
            <w:r>
              <w:rPr>
                <w:rFonts w:hint="default" w:ascii="Times New Roman" w:hAnsi="Times New Roman" w:eastAsia="仿宋_GB2312" w:cs="Times New Roman"/>
                <w:color w:val="auto"/>
                <w:kern w:val="0"/>
                <w:szCs w:val="21"/>
              </w:rPr>
              <w:t>人员进入实验场所须佩戴个人剂量计，剂量计委托有资质的单位按时进行剂量监测（3个月1次）</w:t>
            </w:r>
          </w:p>
        </w:tc>
        <w:tc>
          <w:tcPr>
            <w:tcW w:w="2543" w:type="dxa"/>
            <w:tcMar>
              <w:left w:w="45" w:type="dxa"/>
              <w:right w:w="45" w:type="dxa"/>
            </w:tcMar>
            <w:vAlign w:val="center"/>
          </w:tcPr>
          <w:p w14:paraId="00AACD8C">
            <w:pPr>
              <w:pageBreakBefore w:val="0"/>
              <w:kinsoku/>
              <w:wordWrap/>
              <w:overflowPunct/>
              <w:topLinePunct w:val="0"/>
              <w:bidi w:val="0"/>
              <w:snapToGrid/>
              <w:spacing w:after="0" w:line="360" w:lineRule="auto"/>
              <w:textAlignment w:val="auto"/>
              <w:rPr>
                <w:rFonts w:hint="default" w:ascii="Times New Roman" w:hAnsi="Times New Roman" w:eastAsia="仿宋_GB2312" w:cs="Times New Roman"/>
                <w:bCs/>
                <w:color w:val="auto"/>
                <w:kern w:val="0"/>
                <w:szCs w:val="21"/>
              </w:rPr>
            </w:pPr>
          </w:p>
        </w:tc>
      </w:tr>
      <w:tr w14:paraId="5E9C5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2F7B4B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11.1.3</w:t>
            </w:r>
          </w:p>
        </w:tc>
        <w:tc>
          <w:tcPr>
            <w:tcW w:w="3703" w:type="dxa"/>
            <w:tcMar>
              <w:left w:w="45" w:type="dxa"/>
              <w:right w:w="45" w:type="dxa"/>
            </w:tcMar>
            <w:vAlign w:val="center"/>
          </w:tcPr>
          <w:p w14:paraId="682074F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核材料许可证持有单位须建立专职机构或指定专人负责保管核材料，执行国家法律法规要求。有账目与报告制度，保证账物相符</w:t>
            </w:r>
          </w:p>
        </w:tc>
        <w:tc>
          <w:tcPr>
            <w:tcW w:w="7777" w:type="dxa"/>
            <w:tcMar>
              <w:left w:w="45" w:type="dxa"/>
              <w:right w:w="45" w:type="dxa"/>
            </w:tcMar>
            <w:vAlign w:val="center"/>
          </w:tcPr>
          <w:p w14:paraId="187DCFA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bCs/>
                <w:color w:val="auto"/>
                <w:kern w:val="0"/>
                <w:szCs w:val="21"/>
              </w:rPr>
              <w:t>（219）持有核材料数量达到法定要求的单位须</w:t>
            </w:r>
            <w:r>
              <w:rPr>
                <w:rFonts w:hint="default" w:ascii="Times New Roman" w:hAnsi="Times New Roman" w:eastAsia="仿宋_GB2312" w:cs="Times New Roman"/>
                <w:color w:val="auto"/>
                <w:kern w:val="0"/>
                <w:szCs w:val="21"/>
              </w:rPr>
              <w:t>取得核材料许可证，</w:t>
            </w:r>
            <w:r>
              <w:rPr>
                <w:rFonts w:hint="default" w:ascii="Times New Roman" w:hAnsi="Times New Roman" w:eastAsia="仿宋_GB2312" w:cs="Times New Roman"/>
                <w:color w:val="auto"/>
                <w:szCs w:val="21"/>
              </w:rPr>
              <w:t>有负责机构或指定专人负责核材料管制工作，核材料衡算和核安保工作执行国家法律法规要求</w:t>
            </w:r>
          </w:p>
        </w:tc>
        <w:tc>
          <w:tcPr>
            <w:tcW w:w="2543" w:type="dxa"/>
            <w:tcMar>
              <w:left w:w="45" w:type="dxa"/>
              <w:right w:w="45" w:type="dxa"/>
            </w:tcMar>
            <w:vAlign w:val="center"/>
          </w:tcPr>
          <w:p w14:paraId="5C2BDE24">
            <w:pPr>
              <w:pageBreakBefore w:val="0"/>
              <w:kinsoku/>
              <w:wordWrap/>
              <w:overflowPunct/>
              <w:topLinePunct w:val="0"/>
              <w:bidi w:val="0"/>
              <w:snapToGrid/>
              <w:spacing w:after="0" w:line="360" w:lineRule="auto"/>
              <w:textAlignment w:val="auto"/>
              <w:rPr>
                <w:rFonts w:hint="default" w:ascii="Times New Roman" w:hAnsi="Times New Roman" w:eastAsia="仿宋_GB2312" w:cs="Times New Roman"/>
                <w:bCs/>
                <w:color w:val="auto"/>
                <w:kern w:val="0"/>
                <w:szCs w:val="21"/>
              </w:rPr>
            </w:pPr>
          </w:p>
        </w:tc>
      </w:tr>
      <w:tr w14:paraId="321B0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63691E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11.2</w:t>
            </w:r>
          </w:p>
        </w:tc>
        <w:tc>
          <w:tcPr>
            <w:tcW w:w="14023" w:type="dxa"/>
            <w:gridSpan w:val="3"/>
            <w:tcMar>
              <w:left w:w="45" w:type="dxa"/>
              <w:right w:w="45" w:type="dxa"/>
            </w:tcMar>
            <w:vAlign w:val="center"/>
          </w:tcPr>
          <w:p w14:paraId="4BB9554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场所设施与采购运输</w:t>
            </w:r>
          </w:p>
        </w:tc>
      </w:tr>
      <w:tr w14:paraId="05416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9EB4ED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11.2.1</w:t>
            </w:r>
          </w:p>
        </w:tc>
        <w:tc>
          <w:tcPr>
            <w:tcW w:w="3703" w:type="dxa"/>
            <w:tcMar>
              <w:left w:w="45" w:type="dxa"/>
              <w:right w:w="45" w:type="dxa"/>
            </w:tcMar>
            <w:vAlign w:val="center"/>
          </w:tcPr>
          <w:p w14:paraId="120F9CE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辐射设施和场所应设有警示、联锁和报警装置</w:t>
            </w:r>
          </w:p>
        </w:tc>
        <w:tc>
          <w:tcPr>
            <w:tcW w:w="7777" w:type="dxa"/>
            <w:tcMar>
              <w:left w:w="45" w:type="dxa"/>
              <w:right w:w="45" w:type="dxa"/>
            </w:tcMar>
            <w:vAlign w:val="center"/>
          </w:tcPr>
          <w:p w14:paraId="07E0C26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（220）放射源储存库应设双人双锁，并有安全报警系统和视频监控系统。</w:t>
            </w:r>
          </w:p>
          <w:p w14:paraId="20D0BE7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（221）</w:t>
            </w:r>
            <w:r>
              <w:rPr>
                <w:rFonts w:hint="default" w:ascii="Times New Roman" w:hAnsi="Times New Roman" w:eastAsia="仿宋_GB2312" w:cs="Times New Roman"/>
                <w:b/>
                <w:bCs/>
                <w:color w:val="auto"/>
                <w:kern w:val="0"/>
                <w:szCs w:val="21"/>
              </w:rPr>
              <w:t>辐照设施设备和场所应具有能正常工作的安全联锁装置和报警装置，有明显的安全警示标识、警戒线和剂量报警仪</w:t>
            </w:r>
          </w:p>
        </w:tc>
        <w:tc>
          <w:tcPr>
            <w:tcW w:w="2543" w:type="dxa"/>
            <w:tcMar>
              <w:left w:w="45" w:type="dxa"/>
              <w:right w:w="45" w:type="dxa"/>
            </w:tcMar>
            <w:vAlign w:val="center"/>
          </w:tcPr>
          <w:p w14:paraId="7ACA52D4">
            <w:pPr>
              <w:pageBreakBefore w:val="0"/>
              <w:kinsoku/>
              <w:wordWrap/>
              <w:overflowPunct/>
              <w:topLinePunct w:val="0"/>
              <w:bidi w:val="0"/>
              <w:snapToGrid/>
              <w:spacing w:after="0" w:line="360" w:lineRule="auto"/>
              <w:textAlignment w:val="auto"/>
              <w:rPr>
                <w:rFonts w:hint="default" w:ascii="Times New Roman" w:hAnsi="Times New Roman" w:eastAsia="仿宋_GB2312" w:cs="Times New Roman"/>
                <w:bCs/>
                <w:color w:val="auto"/>
                <w:kern w:val="0"/>
                <w:szCs w:val="21"/>
              </w:rPr>
            </w:pPr>
          </w:p>
        </w:tc>
      </w:tr>
      <w:tr w14:paraId="3F29F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38ED00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11.2.2</w:t>
            </w:r>
          </w:p>
        </w:tc>
        <w:tc>
          <w:tcPr>
            <w:tcW w:w="3703" w:type="dxa"/>
            <w:tcMar>
              <w:left w:w="45" w:type="dxa"/>
              <w:right w:w="45" w:type="dxa"/>
            </w:tcMar>
            <w:vAlign w:val="center"/>
          </w:tcPr>
          <w:p w14:paraId="1782D12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辐射实验场所每年有合格的实验场所检测报告</w:t>
            </w:r>
          </w:p>
        </w:tc>
        <w:tc>
          <w:tcPr>
            <w:tcW w:w="7777" w:type="dxa"/>
            <w:tcMar>
              <w:left w:w="45" w:type="dxa"/>
              <w:right w:w="45" w:type="dxa"/>
            </w:tcMar>
            <w:vAlign w:val="center"/>
          </w:tcPr>
          <w:p w14:paraId="7DB450C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（222）查</w:t>
            </w:r>
            <w:r>
              <w:rPr>
                <w:rFonts w:hint="default" w:ascii="Times New Roman" w:hAnsi="Times New Roman" w:eastAsia="仿宋_GB2312" w:cs="Times New Roman"/>
                <w:color w:val="auto"/>
                <w:kern w:val="0"/>
                <w:szCs w:val="21"/>
              </w:rPr>
              <w:t>看场所辐射环境监测报告</w:t>
            </w:r>
          </w:p>
        </w:tc>
        <w:tc>
          <w:tcPr>
            <w:tcW w:w="2543" w:type="dxa"/>
            <w:tcMar>
              <w:left w:w="45" w:type="dxa"/>
              <w:right w:w="45" w:type="dxa"/>
            </w:tcMar>
            <w:vAlign w:val="center"/>
          </w:tcPr>
          <w:p w14:paraId="408E2E01">
            <w:pPr>
              <w:pageBreakBefore w:val="0"/>
              <w:kinsoku/>
              <w:wordWrap/>
              <w:overflowPunct/>
              <w:topLinePunct w:val="0"/>
              <w:bidi w:val="0"/>
              <w:snapToGrid/>
              <w:spacing w:after="0" w:line="360" w:lineRule="auto"/>
              <w:textAlignment w:val="auto"/>
              <w:rPr>
                <w:rFonts w:hint="default" w:ascii="Times New Roman" w:hAnsi="Times New Roman" w:eastAsia="仿宋_GB2312" w:cs="Times New Roman"/>
                <w:bCs/>
                <w:color w:val="auto"/>
                <w:kern w:val="0"/>
                <w:szCs w:val="21"/>
              </w:rPr>
            </w:pPr>
          </w:p>
        </w:tc>
      </w:tr>
      <w:tr w14:paraId="0481B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2438BE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11.2.3</w:t>
            </w:r>
          </w:p>
        </w:tc>
        <w:tc>
          <w:tcPr>
            <w:tcW w:w="3703" w:type="dxa"/>
            <w:tcMar>
              <w:left w:w="45" w:type="dxa"/>
              <w:right w:w="45" w:type="dxa"/>
            </w:tcMar>
            <w:vAlign w:val="center"/>
          </w:tcPr>
          <w:p w14:paraId="774EA8D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放射性物质的转让、转移和运输应按规定报批</w:t>
            </w:r>
          </w:p>
        </w:tc>
        <w:tc>
          <w:tcPr>
            <w:tcW w:w="7777" w:type="dxa"/>
            <w:tcMar>
              <w:left w:w="45" w:type="dxa"/>
              <w:right w:w="45" w:type="dxa"/>
            </w:tcMar>
            <w:vAlign w:val="center"/>
          </w:tcPr>
          <w:p w14:paraId="429F4E1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（223）放射性物质转让、转移有学校及生态环境部门的审批备案材料，在野外使用放射性物质开展实验应事先取得实验所在地省级生态环境主管部门的批准。</w:t>
            </w:r>
          </w:p>
          <w:p w14:paraId="48CB339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（224）放射性物质的转移和运输有学校及公安部门的审批备案材料。</w:t>
            </w:r>
          </w:p>
          <w:p w14:paraId="38E9FCD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（225）放射性物质及射线装置储存和使用场所变更应重新开展环境影响评价</w:t>
            </w:r>
          </w:p>
        </w:tc>
        <w:tc>
          <w:tcPr>
            <w:tcW w:w="2543" w:type="dxa"/>
            <w:tcMar>
              <w:left w:w="45" w:type="dxa"/>
              <w:right w:w="45" w:type="dxa"/>
            </w:tcMar>
            <w:vAlign w:val="center"/>
          </w:tcPr>
          <w:p w14:paraId="167D215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6B3D4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621280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11.3</w:t>
            </w:r>
          </w:p>
        </w:tc>
        <w:tc>
          <w:tcPr>
            <w:tcW w:w="14023" w:type="dxa"/>
            <w:gridSpan w:val="3"/>
            <w:tcMar>
              <w:left w:w="45" w:type="dxa"/>
              <w:right w:w="45" w:type="dxa"/>
            </w:tcMar>
            <w:vAlign w:val="center"/>
          </w:tcPr>
          <w:p w14:paraId="692DF0A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放射性实验安全及废物处置</w:t>
            </w:r>
          </w:p>
        </w:tc>
      </w:tr>
      <w:tr w14:paraId="4DF20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382827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11.3.1</w:t>
            </w:r>
          </w:p>
        </w:tc>
        <w:tc>
          <w:tcPr>
            <w:tcW w:w="3703" w:type="dxa"/>
            <w:tcMar>
              <w:left w:w="45" w:type="dxa"/>
              <w:right w:w="45" w:type="dxa"/>
            </w:tcMar>
            <w:vAlign w:val="center"/>
          </w:tcPr>
          <w:p w14:paraId="302D749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各类放射性装置有符合国家相关规定的操作规程、安保方案及应急预案，并遵照执行</w:t>
            </w:r>
          </w:p>
        </w:tc>
        <w:tc>
          <w:tcPr>
            <w:tcW w:w="7777" w:type="dxa"/>
            <w:tcMar>
              <w:left w:w="45" w:type="dxa"/>
              <w:right w:w="45" w:type="dxa"/>
            </w:tcMar>
            <w:vAlign w:val="center"/>
          </w:tcPr>
          <w:p w14:paraId="5082ABC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（226）</w:t>
            </w:r>
            <w:bookmarkStart w:id="1" w:name="_Hlk67119357"/>
            <w:r>
              <w:rPr>
                <w:rFonts w:hint="default" w:ascii="Times New Roman" w:hAnsi="Times New Roman" w:eastAsia="仿宋_GB2312" w:cs="Times New Roman"/>
                <w:color w:val="auto"/>
                <w:kern w:val="0"/>
                <w:szCs w:val="21"/>
              </w:rPr>
              <w:t>重点关注γ辐照、电子加速器、射线探伤仪、非密封放射性实验操作、V类以上的放射源实验操作。</w:t>
            </w:r>
          </w:p>
          <w:p w14:paraId="265FCBA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（227）查看辐射事故应急预案</w:t>
            </w:r>
            <w:bookmarkEnd w:id="1"/>
            <w:r>
              <w:rPr>
                <w:rFonts w:hint="default" w:ascii="Times New Roman" w:hAnsi="Times New Roman" w:eastAsia="仿宋_GB2312" w:cs="Times New Roman"/>
                <w:color w:val="auto"/>
                <w:kern w:val="0"/>
                <w:szCs w:val="21"/>
              </w:rPr>
              <w:t>及应急演练记录（每年不少于1次演练）</w:t>
            </w:r>
          </w:p>
        </w:tc>
        <w:tc>
          <w:tcPr>
            <w:tcW w:w="2543" w:type="dxa"/>
            <w:tcMar>
              <w:left w:w="45" w:type="dxa"/>
              <w:right w:w="45" w:type="dxa"/>
            </w:tcMar>
            <w:vAlign w:val="center"/>
          </w:tcPr>
          <w:p w14:paraId="561A26A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2C3A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465708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11.3.2</w:t>
            </w:r>
          </w:p>
        </w:tc>
        <w:tc>
          <w:tcPr>
            <w:tcW w:w="3703" w:type="dxa"/>
            <w:tcMar>
              <w:left w:w="45" w:type="dxa"/>
              <w:right w:w="45" w:type="dxa"/>
            </w:tcMar>
            <w:vAlign w:val="center"/>
          </w:tcPr>
          <w:p w14:paraId="145A40B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放射源及设备报废时有符合国家相关规定的处置方案或回收协议</w:t>
            </w:r>
          </w:p>
        </w:tc>
        <w:tc>
          <w:tcPr>
            <w:tcW w:w="7777" w:type="dxa"/>
            <w:tcMar>
              <w:left w:w="45" w:type="dxa"/>
              <w:right w:w="45" w:type="dxa"/>
            </w:tcMar>
            <w:vAlign w:val="center"/>
          </w:tcPr>
          <w:p w14:paraId="3A95685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（228）中、长半衰期核素固液废物有符合国家相关规定的处置方案或回收协议，短半衰期核素固液废弃物放置10个半衰期经检测达标并经审管部门的批准可以作为普通废物处理，并有处置记录。</w:t>
            </w:r>
          </w:p>
          <w:p w14:paraId="005A34B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（229）报废含有放射源或可产生放射性的设备，须报学校管理部门同意，并按国家规定进行退役处置。</w:t>
            </w:r>
            <w:r>
              <w:rPr>
                <w:rFonts w:hint="default" w:ascii="Times New Roman" w:hAnsi="Times New Roman" w:eastAsia="仿宋_GB2312" w:cs="Times New Roman"/>
                <w:bCs/>
                <w:color w:val="auto"/>
                <w:kern w:val="0"/>
                <w:szCs w:val="21"/>
              </w:rPr>
              <w:t>X光管报废时应破坏高压设备，拍照留存。</w:t>
            </w:r>
          </w:p>
          <w:p w14:paraId="078BE92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bCs/>
                <w:color w:val="auto"/>
                <w:kern w:val="0"/>
                <w:szCs w:val="21"/>
              </w:rPr>
              <w:t>（230）</w:t>
            </w:r>
            <w:r>
              <w:rPr>
                <w:rFonts w:hint="default" w:ascii="Times New Roman" w:hAnsi="Times New Roman" w:eastAsia="仿宋_GB2312" w:cs="Times New Roman"/>
                <w:color w:val="auto"/>
                <w:kern w:val="0"/>
                <w:szCs w:val="21"/>
              </w:rPr>
              <w:t>涉源实验场所退役，须按国家相关规定执行</w:t>
            </w:r>
          </w:p>
        </w:tc>
        <w:tc>
          <w:tcPr>
            <w:tcW w:w="2543" w:type="dxa"/>
            <w:tcMar>
              <w:left w:w="45" w:type="dxa"/>
              <w:right w:w="45" w:type="dxa"/>
            </w:tcMar>
            <w:vAlign w:val="center"/>
          </w:tcPr>
          <w:p w14:paraId="0B89153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0FDA5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3A534A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11.3.3</w:t>
            </w:r>
          </w:p>
        </w:tc>
        <w:tc>
          <w:tcPr>
            <w:tcW w:w="3703" w:type="dxa"/>
            <w:tcMar>
              <w:left w:w="45" w:type="dxa"/>
              <w:right w:w="45" w:type="dxa"/>
            </w:tcMar>
            <w:vAlign w:val="center"/>
          </w:tcPr>
          <w:p w14:paraId="5AA032C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放射性废物（源）应严加管理，不得作为普通废物处理，不得擅自处置</w:t>
            </w:r>
          </w:p>
        </w:tc>
        <w:tc>
          <w:tcPr>
            <w:tcW w:w="7777" w:type="dxa"/>
            <w:tcMar>
              <w:left w:w="45" w:type="dxa"/>
              <w:right w:w="45" w:type="dxa"/>
            </w:tcMar>
            <w:vAlign w:val="center"/>
          </w:tcPr>
          <w:p w14:paraId="5E4C50F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bookmarkStart w:id="2" w:name="_Hlk67118907"/>
            <w:r>
              <w:rPr>
                <w:rFonts w:hint="default" w:ascii="Times New Roman" w:hAnsi="Times New Roman" w:eastAsia="仿宋_GB2312" w:cs="Times New Roman"/>
                <w:color w:val="auto"/>
                <w:kern w:val="0"/>
                <w:szCs w:val="21"/>
              </w:rPr>
              <w:t>（231）相关实验室应当配置专门的放射性废物收集桶，放射性废液送贮前应进行固化整备。</w:t>
            </w:r>
          </w:p>
          <w:p w14:paraId="32DF8A1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（232）放射性废物应及时送交</w:t>
            </w:r>
            <w:bookmarkEnd w:id="2"/>
            <w:r>
              <w:rPr>
                <w:rFonts w:hint="default" w:ascii="Times New Roman" w:hAnsi="Times New Roman" w:eastAsia="仿宋_GB2312" w:cs="Times New Roman"/>
                <w:color w:val="auto"/>
                <w:kern w:val="0"/>
                <w:szCs w:val="21"/>
              </w:rPr>
              <w:t>有资质的放射性废物集中贮存单位贮存。</w:t>
            </w:r>
          </w:p>
          <w:p w14:paraId="2ABA680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（233）排放气态或液态放射性流出物应严格按照环评和地方生态环境部门批准的排放量和排放方式执行</w:t>
            </w:r>
          </w:p>
        </w:tc>
        <w:tc>
          <w:tcPr>
            <w:tcW w:w="2543" w:type="dxa"/>
            <w:tcMar>
              <w:left w:w="45" w:type="dxa"/>
              <w:right w:w="45" w:type="dxa"/>
            </w:tcMar>
            <w:vAlign w:val="center"/>
          </w:tcPr>
          <w:p w14:paraId="2D2F176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27F2C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E20A04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12</w:t>
            </w:r>
          </w:p>
        </w:tc>
        <w:tc>
          <w:tcPr>
            <w:tcW w:w="14023" w:type="dxa"/>
            <w:gridSpan w:val="3"/>
            <w:tcMar>
              <w:left w:w="45" w:type="dxa"/>
              <w:right w:w="45" w:type="dxa"/>
            </w:tcMar>
            <w:vAlign w:val="center"/>
          </w:tcPr>
          <w:p w14:paraId="458869A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机电等安全</w:t>
            </w:r>
          </w:p>
        </w:tc>
      </w:tr>
      <w:tr w14:paraId="3C073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55CD02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12.1</w:t>
            </w:r>
          </w:p>
        </w:tc>
        <w:tc>
          <w:tcPr>
            <w:tcW w:w="14023" w:type="dxa"/>
            <w:gridSpan w:val="3"/>
            <w:tcMar>
              <w:left w:w="45" w:type="dxa"/>
              <w:right w:w="45" w:type="dxa"/>
            </w:tcMar>
            <w:vAlign w:val="center"/>
          </w:tcPr>
          <w:p w14:paraId="2C34476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仪器设备常规管理</w:t>
            </w:r>
          </w:p>
        </w:tc>
      </w:tr>
      <w:tr w14:paraId="2CFAE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72B07B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12.1.1</w:t>
            </w:r>
          </w:p>
        </w:tc>
        <w:tc>
          <w:tcPr>
            <w:tcW w:w="3703" w:type="dxa"/>
            <w:tcMar>
              <w:left w:w="45" w:type="dxa"/>
              <w:right w:w="45" w:type="dxa"/>
            </w:tcMar>
            <w:vAlign w:val="center"/>
          </w:tcPr>
          <w:p w14:paraId="6497489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建立设备台账，设备上有资产标签，有明确的管理人员</w:t>
            </w:r>
          </w:p>
        </w:tc>
        <w:tc>
          <w:tcPr>
            <w:tcW w:w="7777" w:type="dxa"/>
            <w:tcMar>
              <w:left w:w="45" w:type="dxa"/>
              <w:right w:w="45" w:type="dxa"/>
            </w:tcMar>
            <w:vAlign w:val="center"/>
          </w:tcPr>
          <w:p w14:paraId="5542B21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color w:val="auto"/>
                <w:kern w:val="0"/>
                <w:szCs w:val="21"/>
              </w:rPr>
              <w:t>（234）查看资产标签、电子或纸质台账</w:t>
            </w:r>
          </w:p>
        </w:tc>
        <w:tc>
          <w:tcPr>
            <w:tcW w:w="2543" w:type="dxa"/>
            <w:tcMar>
              <w:left w:w="45" w:type="dxa"/>
              <w:right w:w="45" w:type="dxa"/>
            </w:tcMar>
            <w:vAlign w:val="center"/>
          </w:tcPr>
          <w:p w14:paraId="67EAB0B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6D6F2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EB1E55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12.1.2</w:t>
            </w:r>
          </w:p>
        </w:tc>
        <w:tc>
          <w:tcPr>
            <w:tcW w:w="3703" w:type="dxa"/>
            <w:tcMar>
              <w:left w:w="45" w:type="dxa"/>
              <w:right w:w="45" w:type="dxa"/>
            </w:tcMar>
            <w:vAlign w:val="center"/>
          </w:tcPr>
          <w:p w14:paraId="5875DAA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大型、特种设备的使用须符合相关规定</w:t>
            </w:r>
          </w:p>
        </w:tc>
        <w:tc>
          <w:tcPr>
            <w:tcW w:w="7777" w:type="dxa"/>
            <w:tcMar>
              <w:left w:w="45" w:type="dxa"/>
              <w:right w:w="45" w:type="dxa"/>
            </w:tcMar>
            <w:vAlign w:val="center"/>
          </w:tcPr>
          <w:p w14:paraId="22EED8C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（235）大型仪器设备、高功率的设备与电路容量相匹配，有设备运行维护记录，有安全操作规程或注意事项</w:t>
            </w:r>
          </w:p>
        </w:tc>
        <w:tc>
          <w:tcPr>
            <w:tcW w:w="2543" w:type="dxa"/>
            <w:tcMar>
              <w:left w:w="45" w:type="dxa"/>
              <w:right w:w="45" w:type="dxa"/>
            </w:tcMar>
            <w:vAlign w:val="center"/>
          </w:tcPr>
          <w:p w14:paraId="13961B6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7335E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BE0883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12.1.3</w:t>
            </w:r>
          </w:p>
        </w:tc>
        <w:tc>
          <w:tcPr>
            <w:tcW w:w="3703" w:type="dxa"/>
            <w:tcMar>
              <w:left w:w="45" w:type="dxa"/>
              <w:right w:w="45" w:type="dxa"/>
            </w:tcMar>
            <w:vAlign w:val="center"/>
          </w:tcPr>
          <w:p w14:paraId="1DFDC52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仪器设备的接地和用电符合相关要求</w:t>
            </w:r>
          </w:p>
        </w:tc>
        <w:tc>
          <w:tcPr>
            <w:tcW w:w="7777" w:type="dxa"/>
            <w:tcMar>
              <w:left w:w="45" w:type="dxa"/>
              <w:right w:w="45" w:type="dxa"/>
            </w:tcMar>
            <w:vAlign w:val="center"/>
          </w:tcPr>
          <w:p w14:paraId="3527397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（236）仪器设备接地系统应按规范要求，采用铜质材料，接地电阻一般不高于4Ω。</w:t>
            </w:r>
          </w:p>
          <w:p w14:paraId="67CB363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（237）电脑、空调、电加热器等不随意开机过夜。</w:t>
            </w:r>
            <w:r>
              <w:rPr>
                <w:rFonts w:hint="default" w:ascii="Times New Roman" w:hAnsi="Times New Roman" w:eastAsia="仿宋_GB2312" w:cs="Times New Roman"/>
                <w:color w:val="auto"/>
                <w:kern w:val="0"/>
                <w:szCs w:val="21"/>
              </w:rPr>
              <w:t>对于不能断电的特殊仪器设备，采取必要的防护措施（如双路供电、不间断电源、监控报警等）</w:t>
            </w:r>
          </w:p>
        </w:tc>
        <w:tc>
          <w:tcPr>
            <w:tcW w:w="2543" w:type="dxa"/>
            <w:tcMar>
              <w:left w:w="45" w:type="dxa"/>
              <w:right w:w="45" w:type="dxa"/>
            </w:tcMar>
            <w:vAlign w:val="center"/>
          </w:tcPr>
          <w:p w14:paraId="2CE5C72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3B35D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AC0CF2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12.1.4</w:t>
            </w:r>
          </w:p>
        </w:tc>
        <w:tc>
          <w:tcPr>
            <w:tcW w:w="3703" w:type="dxa"/>
            <w:tcMar>
              <w:left w:w="45" w:type="dxa"/>
              <w:right w:w="45" w:type="dxa"/>
            </w:tcMar>
            <w:vAlign w:val="center"/>
          </w:tcPr>
          <w:p w14:paraId="7921E3BB">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特殊设备应配备相应的安全防护措施</w:t>
            </w:r>
          </w:p>
        </w:tc>
        <w:tc>
          <w:tcPr>
            <w:tcW w:w="7777" w:type="dxa"/>
            <w:tcMar>
              <w:left w:w="45" w:type="dxa"/>
              <w:right w:w="45" w:type="dxa"/>
            </w:tcMar>
            <w:vAlign w:val="center"/>
          </w:tcPr>
          <w:p w14:paraId="50792BF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（238）关注高温、高压、高速运动、电磁辐射等特殊设备，对使用者有培训要求，有安全警示标识和</w:t>
            </w:r>
            <w:r>
              <w:rPr>
                <w:rFonts w:hint="default" w:ascii="Times New Roman" w:hAnsi="Times New Roman" w:eastAsia="仿宋_GB2312" w:cs="Times New Roman"/>
                <w:color w:val="auto"/>
                <w:szCs w:val="21"/>
              </w:rPr>
              <w:t>安全警示线（黄色），设备安全防护措施完好。</w:t>
            </w:r>
          </w:p>
          <w:p w14:paraId="3995372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szCs w:val="21"/>
              </w:rPr>
              <w:t>（239）</w:t>
            </w:r>
            <w:r>
              <w:rPr>
                <w:rFonts w:hint="default" w:ascii="Times New Roman" w:hAnsi="Times New Roman" w:eastAsia="仿宋_GB2312" w:cs="Times New Roman"/>
                <w:b/>
                <w:bCs/>
                <w:color w:val="auto"/>
                <w:kern w:val="0"/>
                <w:szCs w:val="21"/>
              </w:rPr>
              <w:t>非标准设备、自制设备应经安全论证合格后方可使用，须充分考虑安全系数，并有安全防护措施</w:t>
            </w:r>
          </w:p>
        </w:tc>
        <w:tc>
          <w:tcPr>
            <w:tcW w:w="2543" w:type="dxa"/>
            <w:tcMar>
              <w:left w:w="45" w:type="dxa"/>
              <w:right w:w="45" w:type="dxa"/>
            </w:tcMar>
            <w:vAlign w:val="center"/>
          </w:tcPr>
          <w:p w14:paraId="6F5B6C4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D9D0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684F35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12.2</w:t>
            </w:r>
          </w:p>
        </w:tc>
        <w:tc>
          <w:tcPr>
            <w:tcW w:w="14023" w:type="dxa"/>
            <w:gridSpan w:val="3"/>
            <w:tcMar>
              <w:left w:w="45" w:type="dxa"/>
              <w:right w:w="45" w:type="dxa"/>
            </w:tcMar>
            <w:vAlign w:val="center"/>
          </w:tcPr>
          <w:p w14:paraId="7A3ACBC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机械安全</w:t>
            </w:r>
          </w:p>
        </w:tc>
      </w:tr>
      <w:tr w14:paraId="384B0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0168A0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12.2.1</w:t>
            </w:r>
          </w:p>
        </w:tc>
        <w:tc>
          <w:tcPr>
            <w:tcW w:w="3703" w:type="dxa"/>
            <w:tcMar>
              <w:left w:w="45" w:type="dxa"/>
              <w:right w:w="45" w:type="dxa"/>
            </w:tcMar>
            <w:vAlign w:val="center"/>
          </w:tcPr>
          <w:p w14:paraId="3E84CD2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机械设备应保持清洁整齐，可靠接地</w:t>
            </w:r>
          </w:p>
        </w:tc>
        <w:tc>
          <w:tcPr>
            <w:tcW w:w="7777" w:type="dxa"/>
            <w:tcMar>
              <w:left w:w="45" w:type="dxa"/>
              <w:right w:w="45" w:type="dxa"/>
            </w:tcMar>
            <w:vAlign w:val="center"/>
          </w:tcPr>
          <w:p w14:paraId="53D60F9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（240）机床应保持清洁整齐，严禁在床头、床面、刀架上放置物品。</w:t>
            </w:r>
          </w:p>
          <w:p w14:paraId="6BB2AA5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（241）机械设备可靠接地，实验结束后，应切断电源，整理好场地并将实验用具等摆放整齐，及时清理机械设备产生的废渣、废屑</w:t>
            </w:r>
          </w:p>
        </w:tc>
        <w:tc>
          <w:tcPr>
            <w:tcW w:w="2543" w:type="dxa"/>
            <w:tcMar>
              <w:left w:w="45" w:type="dxa"/>
              <w:right w:w="45" w:type="dxa"/>
            </w:tcMar>
            <w:vAlign w:val="center"/>
          </w:tcPr>
          <w:p w14:paraId="76E6E00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48EA9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022E4C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12.2.2</w:t>
            </w:r>
          </w:p>
        </w:tc>
        <w:tc>
          <w:tcPr>
            <w:tcW w:w="3703" w:type="dxa"/>
            <w:tcMar>
              <w:left w:w="45" w:type="dxa"/>
              <w:right w:w="45" w:type="dxa"/>
            </w:tcMar>
            <w:vAlign w:val="center"/>
          </w:tcPr>
          <w:p w14:paraId="05FD27B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操作机械设备时实验人员应做好个体防护</w:t>
            </w:r>
          </w:p>
        </w:tc>
        <w:tc>
          <w:tcPr>
            <w:tcW w:w="7777" w:type="dxa"/>
            <w:tcMar>
              <w:left w:w="45" w:type="dxa"/>
              <w:right w:w="45" w:type="dxa"/>
            </w:tcMar>
            <w:vAlign w:val="center"/>
          </w:tcPr>
          <w:p w14:paraId="50C9CAF2">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rPr>
            </w:pPr>
            <w:r>
              <w:rPr>
                <w:rFonts w:hint="default" w:ascii="Times New Roman" w:hAnsi="Times New Roman" w:eastAsia="仿宋_GB2312" w:cs="Times New Roman"/>
                <w:color w:val="auto"/>
                <w:kern w:val="0"/>
              </w:rPr>
              <w:t>（242）个体防护用品要穿戴齐全，如工作服、工作帽、工作鞋、防护眼镜等。操作冷加工设备时必须穿“三紧式”工作服，不能留长发（长发要盘在工作帽内），禁止戴手套。</w:t>
            </w:r>
          </w:p>
          <w:p w14:paraId="6B4C9083">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rPr>
              <w:t>（243）</w:t>
            </w:r>
            <w:r>
              <w:rPr>
                <w:rFonts w:hint="default" w:ascii="Times New Roman" w:hAnsi="Times New Roman" w:eastAsia="仿宋_GB2312" w:cs="Times New Roman"/>
                <w:color w:val="auto"/>
                <w:kern w:val="0"/>
                <w:szCs w:val="21"/>
              </w:rPr>
              <w:t>进入高速切削机械操作工作场所，应穿好工作服、工作鞋，戴好防护眼镜，扣紧衣袖口，戴好工作帽（长发学生</w:t>
            </w:r>
            <w:r>
              <w:rPr>
                <w:rFonts w:hint="default" w:ascii="Times New Roman" w:hAnsi="Times New Roman" w:eastAsia="仿宋_GB2312" w:cs="Times New Roman"/>
                <w:color w:val="auto"/>
                <w:kern w:val="0"/>
              </w:rPr>
              <w:t>必须将长发盘在工作帽内</w:t>
            </w:r>
            <w:r>
              <w:rPr>
                <w:rFonts w:hint="default" w:ascii="Times New Roman" w:hAnsi="Times New Roman" w:eastAsia="仿宋_GB2312" w:cs="Times New Roman"/>
                <w:color w:val="auto"/>
                <w:kern w:val="0"/>
                <w:szCs w:val="21"/>
              </w:rPr>
              <w:t>），禁止戴手套、长围巾、领带、手镯等配饰物，禁止穿拖鞋、高跟鞋等。设备运转时严禁用手调整工件</w:t>
            </w:r>
          </w:p>
        </w:tc>
        <w:tc>
          <w:tcPr>
            <w:tcW w:w="2543" w:type="dxa"/>
            <w:tcMar>
              <w:left w:w="45" w:type="dxa"/>
              <w:right w:w="45" w:type="dxa"/>
            </w:tcMar>
            <w:vAlign w:val="center"/>
          </w:tcPr>
          <w:p w14:paraId="02D56AB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23A85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1E963C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12.2.3</w:t>
            </w:r>
          </w:p>
        </w:tc>
        <w:tc>
          <w:tcPr>
            <w:tcW w:w="3703" w:type="dxa"/>
            <w:tcMar>
              <w:left w:w="45" w:type="dxa"/>
              <w:right w:w="45" w:type="dxa"/>
            </w:tcMar>
            <w:vAlign w:val="center"/>
          </w:tcPr>
          <w:p w14:paraId="1EE9168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铸锻及热处理实验应满足场地和防护要求</w:t>
            </w:r>
          </w:p>
        </w:tc>
        <w:tc>
          <w:tcPr>
            <w:tcW w:w="7777" w:type="dxa"/>
            <w:tcMar>
              <w:left w:w="45" w:type="dxa"/>
              <w:right w:w="45" w:type="dxa"/>
            </w:tcMar>
            <w:vAlign w:val="center"/>
          </w:tcPr>
          <w:p w14:paraId="553780B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（244）铸造实验场地宽敞、通道畅通，使用设备前，操作者要按要求穿戴好防护用品。</w:t>
            </w:r>
          </w:p>
          <w:p w14:paraId="2777D9A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（245）盐浴炉加热零件必须预先烘干，并用铁丝绑牢，缓慢放入炉中，以防盐液炸崩烫伤。</w:t>
            </w:r>
          </w:p>
          <w:p w14:paraId="0FB1E73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（246）淬火油槽不得有水，油量不能过少，以免发生火灾。</w:t>
            </w:r>
          </w:p>
          <w:p w14:paraId="50A33DE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（247）与铁水接触的一切工具，使用前必须加热，严禁将冷的工具伸入铁水内，以免引起爆炸。</w:t>
            </w:r>
          </w:p>
          <w:p w14:paraId="599FF2D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color w:val="auto"/>
                <w:kern w:val="0"/>
                <w:szCs w:val="21"/>
              </w:rPr>
              <w:t>（248）锻压设备不得空打或大力敲打过薄锻件，锻造时锻件应达到850 ℃以上，锻锤空置时应垫有木块</w:t>
            </w:r>
          </w:p>
        </w:tc>
        <w:tc>
          <w:tcPr>
            <w:tcW w:w="2543" w:type="dxa"/>
            <w:tcMar>
              <w:left w:w="45" w:type="dxa"/>
              <w:right w:w="45" w:type="dxa"/>
            </w:tcMar>
            <w:vAlign w:val="center"/>
          </w:tcPr>
          <w:p w14:paraId="19B4B7E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5746E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2C4D306">
            <w:pPr>
              <w:pageBreakBefore w:val="0"/>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12.2.4</w:t>
            </w:r>
          </w:p>
        </w:tc>
        <w:tc>
          <w:tcPr>
            <w:tcW w:w="3703" w:type="dxa"/>
            <w:tcMar>
              <w:left w:w="45" w:type="dxa"/>
              <w:right w:w="45" w:type="dxa"/>
            </w:tcMar>
            <w:vAlign w:val="center"/>
          </w:tcPr>
          <w:p w14:paraId="145B5B1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高处作业应符合相关操作规程</w:t>
            </w:r>
          </w:p>
        </w:tc>
        <w:tc>
          <w:tcPr>
            <w:tcW w:w="7777" w:type="dxa"/>
            <w:tcMar>
              <w:left w:w="45" w:type="dxa"/>
              <w:right w:w="45" w:type="dxa"/>
            </w:tcMar>
            <w:vAlign w:val="center"/>
          </w:tcPr>
          <w:p w14:paraId="29D033D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（249）在坠落高度基准面2m及以上有可能坠落的高处进行作业，须穿防滑鞋、佩戴安全帽、使用安全带。</w:t>
            </w:r>
          </w:p>
          <w:p w14:paraId="24ACB6A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（250）临边作业须在临空一侧设置防护栏杆，有相关安全操作规程</w:t>
            </w:r>
          </w:p>
        </w:tc>
        <w:tc>
          <w:tcPr>
            <w:tcW w:w="2543" w:type="dxa"/>
            <w:tcMar>
              <w:left w:w="45" w:type="dxa"/>
              <w:right w:w="45" w:type="dxa"/>
            </w:tcMar>
            <w:vAlign w:val="center"/>
          </w:tcPr>
          <w:p w14:paraId="17ABBBB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561B9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0961E3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12.3</w:t>
            </w:r>
          </w:p>
        </w:tc>
        <w:tc>
          <w:tcPr>
            <w:tcW w:w="14023" w:type="dxa"/>
            <w:gridSpan w:val="3"/>
            <w:tcMar>
              <w:left w:w="45" w:type="dxa"/>
              <w:right w:w="45" w:type="dxa"/>
            </w:tcMar>
            <w:vAlign w:val="center"/>
          </w:tcPr>
          <w:p w14:paraId="4069134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电气安全</w:t>
            </w:r>
          </w:p>
        </w:tc>
      </w:tr>
      <w:tr w14:paraId="4DE09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468440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12.3.1</w:t>
            </w:r>
          </w:p>
        </w:tc>
        <w:tc>
          <w:tcPr>
            <w:tcW w:w="3703" w:type="dxa"/>
            <w:tcMar>
              <w:left w:w="45" w:type="dxa"/>
              <w:right w:w="45" w:type="dxa"/>
            </w:tcMar>
            <w:vAlign w:val="center"/>
          </w:tcPr>
          <w:p w14:paraId="0FA2447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电气设备的使用应符合用电安全规范</w:t>
            </w:r>
          </w:p>
        </w:tc>
        <w:tc>
          <w:tcPr>
            <w:tcW w:w="7777" w:type="dxa"/>
            <w:tcMar>
              <w:left w:w="45" w:type="dxa"/>
              <w:right w:w="45" w:type="dxa"/>
            </w:tcMar>
            <w:vAlign w:val="center"/>
          </w:tcPr>
          <w:p w14:paraId="7896FAAB">
            <w:pPr>
              <w:pageBreakBefore w:val="0"/>
              <w:widowControl/>
              <w:tabs>
                <w:tab w:val="left" w:pos="4321"/>
              </w:tabs>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（251）各种电气设备及电线应始终保持干燥，防止浸湿，以防短路引起火灾或烧坏电气设备。</w:t>
            </w:r>
          </w:p>
          <w:p w14:paraId="2EFE65E5">
            <w:pPr>
              <w:pageBreakBefore w:val="0"/>
              <w:widowControl/>
              <w:tabs>
                <w:tab w:val="left" w:pos="4321"/>
              </w:tabs>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（252）</w:t>
            </w:r>
            <w:r>
              <w:rPr>
                <w:rFonts w:hint="default" w:ascii="Times New Roman" w:hAnsi="Times New Roman" w:eastAsia="仿宋_GB2312" w:cs="Times New Roman"/>
                <w:color w:val="auto"/>
                <w:szCs w:val="21"/>
              </w:rPr>
              <w:t>实验室内的功能间墙面都应设有专用接地母排，并设有多点接地引出端。</w:t>
            </w:r>
          </w:p>
          <w:p w14:paraId="02A1B44B">
            <w:pPr>
              <w:pageBreakBefore w:val="0"/>
              <w:widowControl/>
              <w:tabs>
                <w:tab w:val="left" w:pos="4321"/>
              </w:tabs>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（253）高压、大电流等强电实验室</w:t>
            </w:r>
            <w:r>
              <w:rPr>
                <w:rFonts w:hint="default" w:ascii="Times New Roman" w:hAnsi="Times New Roman" w:eastAsia="仿宋_GB2312" w:cs="Times New Roman"/>
                <w:color w:val="auto"/>
                <w:kern w:val="0"/>
                <w:szCs w:val="21"/>
              </w:rPr>
              <w:t>要设定安全距离，按规定设置安全警示牌，安全信号灯，联动式警铃、门锁，有安全隔离装置或屏蔽遮栏（由金属制成，并可靠接地，</w:t>
            </w:r>
            <w:r>
              <w:rPr>
                <w:rFonts w:hint="default" w:ascii="Times New Roman" w:hAnsi="Times New Roman" w:eastAsia="仿宋_GB2312" w:cs="Times New Roman"/>
                <w:color w:val="auto"/>
                <w:szCs w:val="21"/>
              </w:rPr>
              <w:t>高度不低于2m</w:t>
            </w:r>
            <w:r>
              <w:rPr>
                <w:rFonts w:hint="default" w:ascii="Times New Roman" w:hAnsi="Times New Roman" w:eastAsia="仿宋_GB2312" w:cs="Times New Roman"/>
                <w:color w:val="auto"/>
                <w:kern w:val="0"/>
                <w:szCs w:val="21"/>
              </w:rPr>
              <w:t>）。</w:t>
            </w:r>
          </w:p>
          <w:p w14:paraId="2AF32E43">
            <w:pPr>
              <w:pageBreakBefore w:val="0"/>
              <w:widowControl/>
              <w:tabs>
                <w:tab w:val="left" w:pos="4321"/>
              </w:tabs>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（254）控制室（控制台）应铺橡胶、绝缘垫等。</w:t>
            </w:r>
          </w:p>
          <w:p w14:paraId="306DC510">
            <w:pPr>
              <w:pageBreakBefore w:val="0"/>
              <w:widowControl/>
              <w:tabs>
                <w:tab w:val="left" w:pos="4321"/>
              </w:tabs>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（255）</w:t>
            </w:r>
            <w:r>
              <w:rPr>
                <w:rFonts w:hint="default" w:ascii="Times New Roman" w:hAnsi="Times New Roman" w:eastAsia="仿宋_GB2312" w:cs="Times New Roman"/>
                <w:color w:val="auto"/>
                <w:szCs w:val="21"/>
              </w:rPr>
              <w:t>强电实验室禁止存放易燃、易爆、易腐品，保持通风散热。</w:t>
            </w:r>
          </w:p>
          <w:p w14:paraId="546E8201">
            <w:pPr>
              <w:pageBreakBefore w:val="0"/>
              <w:widowControl/>
              <w:tabs>
                <w:tab w:val="left" w:pos="4321"/>
              </w:tabs>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（256）应为设备配备残余电流泄放专用的接地系统。</w:t>
            </w:r>
          </w:p>
          <w:p w14:paraId="5FF0B7C8">
            <w:pPr>
              <w:pageBreakBefore w:val="0"/>
              <w:widowControl/>
              <w:tabs>
                <w:tab w:val="left" w:pos="4321"/>
              </w:tabs>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（257）禁止在有可燃气体泄露隐患的环境中使用电动工具；电烙铁有专门的搁架，用毕立即切断电源。</w:t>
            </w:r>
          </w:p>
          <w:p w14:paraId="7407DB2D">
            <w:pPr>
              <w:pageBreakBefore w:val="0"/>
              <w:widowControl/>
              <w:tabs>
                <w:tab w:val="left" w:pos="4321"/>
              </w:tabs>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rPr>
              <w:t>（258）强磁设备应配备与大地相连的金属屏蔽网</w:t>
            </w:r>
          </w:p>
        </w:tc>
        <w:tc>
          <w:tcPr>
            <w:tcW w:w="2543" w:type="dxa"/>
            <w:tcMar>
              <w:left w:w="45" w:type="dxa"/>
              <w:right w:w="45" w:type="dxa"/>
            </w:tcMar>
            <w:vAlign w:val="center"/>
          </w:tcPr>
          <w:p w14:paraId="3E289DA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67F5D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A44084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12.3.2</w:t>
            </w:r>
          </w:p>
        </w:tc>
        <w:tc>
          <w:tcPr>
            <w:tcW w:w="3703" w:type="dxa"/>
            <w:tcMar>
              <w:left w:w="45" w:type="dxa"/>
              <w:right w:w="45" w:type="dxa"/>
            </w:tcMar>
            <w:vAlign w:val="center"/>
          </w:tcPr>
          <w:p w14:paraId="14354F5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操作电气设备应配备合适的防护器具</w:t>
            </w:r>
          </w:p>
        </w:tc>
        <w:tc>
          <w:tcPr>
            <w:tcW w:w="7777" w:type="dxa"/>
            <w:tcMar>
              <w:left w:w="45" w:type="dxa"/>
              <w:right w:w="45" w:type="dxa"/>
            </w:tcMar>
            <w:vAlign w:val="center"/>
          </w:tcPr>
          <w:p w14:paraId="781B9F2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（259）强电类高电压实验必须两人（含）以上，操作时应戴绝缘手套；防护器具按规定进行周期试验或定期更换；</w:t>
            </w:r>
            <w:r>
              <w:rPr>
                <w:rFonts w:hint="default" w:ascii="Times New Roman" w:hAnsi="Times New Roman" w:eastAsia="仿宋_GB2312" w:cs="Times New Roman"/>
                <w:color w:val="auto"/>
                <w:szCs w:val="21"/>
              </w:rPr>
              <w:t>静电场所要保持空气湿润，工作人员要穿戴防静电服、手套和鞋靴</w:t>
            </w:r>
          </w:p>
        </w:tc>
        <w:tc>
          <w:tcPr>
            <w:tcW w:w="2543" w:type="dxa"/>
            <w:tcMar>
              <w:left w:w="45" w:type="dxa"/>
              <w:right w:w="45" w:type="dxa"/>
            </w:tcMar>
            <w:vAlign w:val="center"/>
          </w:tcPr>
          <w:p w14:paraId="295B214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7C023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81F3B2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12.4</w:t>
            </w:r>
          </w:p>
        </w:tc>
        <w:tc>
          <w:tcPr>
            <w:tcW w:w="14023" w:type="dxa"/>
            <w:gridSpan w:val="3"/>
            <w:tcMar>
              <w:left w:w="45" w:type="dxa"/>
              <w:right w:w="45" w:type="dxa"/>
            </w:tcMar>
            <w:vAlign w:val="center"/>
          </w:tcPr>
          <w:p w14:paraId="6E8D818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激光安全</w:t>
            </w:r>
          </w:p>
        </w:tc>
      </w:tr>
      <w:tr w14:paraId="7E549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8F80CD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12.4.1</w:t>
            </w:r>
          </w:p>
        </w:tc>
        <w:tc>
          <w:tcPr>
            <w:tcW w:w="3703" w:type="dxa"/>
            <w:tcMar>
              <w:left w:w="45" w:type="dxa"/>
              <w:right w:w="45" w:type="dxa"/>
            </w:tcMar>
            <w:vAlign w:val="center"/>
          </w:tcPr>
          <w:p w14:paraId="7A918B2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bCs/>
                <w:color w:val="auto"/>
                <w:kern w:val="0"/>
                <w:szCs w:val="21"/>
              </w:rPr>
              <w:t>激光实验室配有完备的安全屏蔽设施</w:t>
            </w:r>
          </w:p>
        </w:tc>
        <w:tc>
          <w:tcPr>
            <w:tcW w:w="7777" w:type="dxa"/>
            <w:tcMar>
              <w:left w:w="45" w:type="dxa"/>
              <w:right w:w="45" w:type="dxa"/>
            </w:tcMar>
            <w:vAlign w:val="center"/>
          </w:tcPr>
          <w:p w14:paraId="2CFCA76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（260）功率较大的激光器有互锁装置、防护罩，激光照射方向不会对他人造成伤害，防止激光发射口及反射镜上扬</w:t>
            </w:r>
          </w:p>
        </w:tc>
        <w:tc>
          <w:tcPr>
            <w:tcW w:w="2543" w:type="dxa"/>
            <w:tcMar>
              <w:left w:w="45" w:type="dxa"/>
              <w:right w:w="45" w:type="dxa"/>
            </w:tcMar>
            <w:vAlign w:val="center"/>
          </w:tcPr>
          <w:p w14:paraId="2D430ED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19A94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EACA50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12.4.2</w:t>
            </w:r>
          </w:p>
        </w:tc>
        <w:tc>
          <w:tcPr>
            <w:tcW w:w="3703" w:type="dxa"/>
            <w:tcMar>
              <w:left w:w="45" w:type="dxa"/>
              <w:right w:w="45" w:type="dxa"/>
            </w:tcMar>
            <w:vAlign w:val="center"/>
          </w:tcPr>
          <w:p w14:paraId="2A7A7A3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进行激光实验时须佩戴合适的个体防护用具</w:t>
            </w:r>
          </w:p>
        </w:tc>
        <w:tc>
          <w:tcPr>
            <w:tcW w:w="7777" w:type="dxa"/>
            <w:tcMar>
              <w:left w:w="45" w:type="dxa"/>
              <w:right w:w="45" w:type="dxa"/>
            </w:tcMar>
            <w:vAlign w:val="center"/>
          </w:tcPr>
          <w:p w14:paraId="3508CAF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（261）操作人员佩戴防护眼镜等防护用品、不戴手表等能反光的物品，</w:t>
            </w:r>
            <w:r>
              <w:rPr>
                <w:rFonts w:hint="default" w:ascii="Times New Roman" w:hAnsi="Times New Roman" w:eastAsia="仿宋_GB2312" w:cs="Times New Roman"/>
                <w:color w:val="auto"/>
                <w:szCs w:val="21"/>
                <w:shd w:val="clear" w:color="auto" w:fill="FFFFFF"/>
              </w:rPr>
              <w:t>禁止直视激光束和它的反向光束，禁止对激光器件做任何目视准直操作，</w:t>
            </w:r>
            <w:r>
              <w:rPr>
                <w:rFonts w:hint="default" w:ascii="Times New Roman" w:hAnsi="Times New Roman" w:eastAsia="仿宋_GB2312" w:cs="Times New Roman"/>
                <w:bCs/>
                <w:color w:val="auto"/>
                <w:kern w:val="0"/>
                <w:szCs w:val="21"/>
              </w:rPr>
              <w:t>禁止用眼睛检查激光器故障，检查激光器必须在断电情况下进行</w:t>
            </w:r>
          </w:p>
        </w:tc>
        <w:tc>
          <w:tcPr>
            <w:tcW w:w="2543" w:type="dxa"/>
            <w:tcMar>
              <w:left w:w="45" w:type="dxa"/>
              <w:right w:w="45" w:type="dxa"/>
            </w:tcMar>
            <w:vAlign w:val="center"/>
          </w:tcPr>
          <w:p w14:paraId="5DED1D5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10DF4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8A0378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12.4.3</w:t>
            </w:r>
          </w:p>
        </w:tc>
        <w:tc>
          <w:tcPr>
            <w:tcW w:w="3703" w:type="dxa"/>
            <w:tcMar>
              <w:left w:w="45" w:type="dxa"/>
              <w:right w:w="45" w:type="dxa"/>
            </w:tcMar>
            <w:vAlign w:val="center"/>
          </w:tcPr>
          <w:p w14:paraId="141A618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警告标识</w:t>
            </w:r>
          </w:p>
        </w:tc>
        <w:tc>
          <w:tcPr>
            <w:tcW w:w="7777" w:type="dxa"/>
            <w:tcMar>
              <w:left w:w="45" w:type="dxa"/>
              <w:right w:w="45" w:type="dxa"/>
            </w:tcMar>
            <w:vAlign w:val="center"/>
          </w:tcPr>
          <w:p w14:paraId="34132EF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Cs/>
                <w:color w:val="auto"/>
                <w:kern w:val="0"/>
                <w:szCs w:val="21"/>
              </w:rPr>
              <w:t>（262）所有激光区域内张贴警告标识</w:t>
            </w:r>
          </w:p>
        </w:tc>
        <w:tc>
          <w:tcPr>
            <w:tcW w:w="2543" w:type="dxa"/>
            <w:tcMar>
              <w:left w:w="45" w:type="dxa"/>
              <w:right w:w="45" w:type="dxa"/>
            </w:tcMar>
            <w:vAlign w:val="center"/>
          </w:tcPr>
          <w:p w14:paraId="1C37E58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07041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2E1A94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12.5</w:t>
            </w:r>
          </w:p>
        </w:tc>
        <w:tc>
          <w:tcPr>
            <w:tcW w:w="14023" w:type="dxa"/>
            <w:gridSpan w:val="3"/>
            <w:tcMar>
              <w:left w:w="45" w:type="dxa"/>
              <w:right w:w="45" w:type="dxa"/>
            </w:tcMar>
            <w:vAlign w:val="center"/>
          </w:tcPr>
          <w:p w14:paraId="467F03E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粉尘安全</w:t>
            </w:r>
          </w:p>
        </w:tc>
      </w:tr>
      <w:tr w14:paraId="1CD9E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B9E3E0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12.5.1</w:t>
            </w:r>
          </w:p>
        </w:tc>
        <w:tc>
          <w:tcPr>
            <w:tcW w:w="3703" w:type="dxa"/>
            <w:tcMar>
              <w:left w:w="45" w:type="dxa"/>
              <w:right w:w="45" w:type="dxa"/>
            </w:tcMar>
            <w:vAlign w:val="center"/>
          </w:tcPr>
          <w:p w14:paraId="7C14FDDC">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rPr>
              <w:t>粉尘爆炸危险场所，</w:t>
            </w:r>
            <w:r>
              <w:rPr>
                <w:rFonts w:hint="default" w:ascii="Times New Roman" w:hAnsi="Times New Roman" w:eastAsia="仿宋_GB2312" w:cs="Times New Roman"/>
                <w:color w:val="auto"/>
                <w:kern w:val="0"/>
                <w:szCs w:val="21"/>
              </w:rPr>
              <w:t>应选用防爆型电气设备</w:t>
            </w:r>
          </w:p>
        </w:tc>
        <w:tc>
          <w:tcPr>
            <w:tcW w:w="7777" w:type="dxa"/>
            <w:tcMar>
              <w:left w:w="45" w:type="dxa"/>
              <w:right w:w="45" w:type="dxa"/>
            </w:tcMar>
            <w:vAlign w:val="center"/>
          </w:tcPr>
          <w:p w14:paraId="30D997B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（263）防爆灯、防爆电气开关的导线敷设应选用镀锌管，必须达到整体防爆要求。</w:t>
            </w:r>
          </w:p>
          <w:p w14:paraId="033735B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szCs w:val="21"/>
              </w:rPr>
              <w:t>（264）粉尘加工要有除尘装置，除尘器符合防静电安全要求，除尘设施应有阻爆、隔爆、泄爆装置，使用工具具有防爆功能或不产生火花</w:t>
            </w:r>
          </w:p>
        </w:tc>
        <w:tc>
          <w:tcPr>
            <w:tcW w:w="2543" w:type="dxa"/>
            <w:tcMar>
              <w:left w:w="45" w:type="dxa"/>
              <w:right w:w="45" w:type="dxa"/>
            </w:tcMar>
            <w:vAlign w:val="center"/>
          </w:tcPr>
          <w:p w14:paraId="09F7AEC9">
            <w:pPr>
              <w:pStyle w:val="55"/>
              <w:pageBreakBefore w:val="0"/>
              <w:kinsoku/>
              <w:wordWrap/>
              <w:overflowPunct/>
              <w:topLinePunct w:val="0"/>
              <w:bidi w:val="0"/>
              <w:snapToGrid/>
              <w:spacing w:after="0" w:line="360" w:lineRule="auto"/>
              <w:ind w:firstLine="0" w:firstLineChars="0"/>
              <w:textAlignment w:val="auto"/>
              <w:rPr>
                <w:rFonts w:hint="default" w:ascii="Times New Roman" w:hAnsi="Times New Roman" w:eastAsia="仿宋_GB2312" w:cs="Times New Roman"/>
                <w:b/>
                <w:bCs/>
                <w:color w:val="auto"/>
                <w:kern w:val="0"/>
              </w:rPr>
            </w:pPr>
          </w:p>
        </w:tc>
      </w:tr>
      <w:tr w14:paraId="1C8DD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04D9CA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12.5.2</w:t>
            </w:r>
          </w:p>
        </w:tc>
        <w:tc>
          <w:tcPr>
            <w:tcW w:w="3703" w:type="dxa"/>
            <w:tcMar>
              <w:left w:w="45" w:type="dxa"/>
              <w:right w:w="45" w:type="dxa"/>
            </w:tcMar>
            <w:vAlign w:val="center"/>
          </w:tcPr>
          <w:p w14:paraId="1FD681D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进入产生粉尘的实验场所，须穿戴合适的个体防护用具</w:t>
            </w:r>
          </w:p>
        </w:tc>
        <w:tc>
          <w:tcPr>
            <w:tcW w:w="7777" w:type="dxa"/>
            <w:tcMar>
              <w:left w:w="45" w:type="dxa"/>
              <w:right w:w="45" w:type="dxa"/>
            </w:tcMar>
            <w:vAlign w:val="center"/>
          </w:tcPr>
          <w:p w14:paraId="57B90169">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color w:val="auto"/>
                <w:kern w:val="0"/>
              </w:rPr>
              <w:t>（265）</w:t>
            </w:r>
            <w:r>
              <w:rPr>
                <w:rFonts w:hint="default" w:ascii="Times New Roman" w:hAnsi="Times New Roman" w:eastAsia="仿宋_GB2312" w:cs="Times New Roman"/>
                <w:b/>
                <w:bCs/>
                <w:color w:val="auto"/>
                <w:kern w:val="0"/>
              </w:rPr>
              <w:t>进入粉尘爆炸危险场所</w:t>
            </w:r>
            <w:r>
              <w:rPr>
                <w:rFonts w:hint="default" w:ascii="Times New Roman" w:hAnsi="Times New Roman" w:eastAsia="仿宋_GB2312" w:cs="Times New Roman"/>
                <w:b/>
                <w:bCs/>
                <w:color w:val="auto"/>
                <w:kern w:val="0"/>
                <w:szCs w:val="21"/>
              </w:rPr>
              <w:t>应穿防静电服装，禁止穿化纤材料制作的衣服，工作时必须佩戴防尘口罩和护耳器</w:t>
            </w:r>
          </w:p>
        </w:tc>
        <w:tc>
          <w:tcPr>
            <w:tcW w:w="2543" w:type="dxa"/>
            <w:tcMar>
              <w:left w:w="45" w:type="dxa"/>
              <w:right w:w="45" w:type="dxa"/>
            </w:tcMar>
            <w:vAlign w:val="center"/>
          </w:tcPr>
          <w:p w14:paraId="0FEE08E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2A2ED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A51515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12.5.3</w:t>
            </w:r>
          </w:p>
        </w:tc>
        <w:tc>
          <w:tcPr>
            <w:tcW w:w="3703" w:type="dxa"/>
            <w:tcMar>
              <w:left w:w="45" w:type="dxa"/>
              <w:right w:w="45" w:type="dxa"/>
            </w:tcMar>
            <w:vAlign w:val="center"/>
          </w:tcPr>
          <w:p w14:paraId="037F6EF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确保实验室粉尘浓度在爆炸限以下，并配备灭火装置</w:t>
            </w:r>
          </w:p>
        </w:tc>
        <w:tc>
          <w:tcPr>
            <w:tcW w:w="7777" w:type="dxa"/>
            <w:tcMar>
              <w:left w:w="45" w:type="dxa"/>
              <w:right w:w="45" w:type="dxa"/>
            </w:tcMar>
            <w:vAlign w:val="center"/>
          </w:tcPr>
          <w:p w14:paraId="4DEDC45D">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highlight w:val="yellow"/>
              </w:rPr>
            </w:pPr>
            <w:r>
              <w:rPr>
                <w:rFonts w:hint="default" w:ascii="Times New Roman" w:hAnsi="Times New Roman" w:eastAsia="仿宋_GB2312" w:cs="Times New Roman"/>
                <w:color w:val="auto"/>
                <w:kern w:val="0"/>
                <w:szCs w:val="21"/>
              </w:rPr>
              <w:t>（266）粉尘浓度较高的场所，应配备必要的加湿装置、静电消除装置以及合适的灭火装置等</w:t>
            </w:r>
          </w:p>
        </w:tc>
        <w:tc>
          <w:tcPr>
            <w:tcW w:w="2543" w:type="dxa"/>
            <w:tcMar>
              <w:left w:w="45" w:type="dxa"/>
              <w:right w:w="45" w:type="dxa"/>
            </w:tcMar>
            <w:vAlign w:val="center"/>
          </w:tcPr>
          <w:p w14:paraId="162386DB">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p>
        </w:tc>
      </w:tr>
      <w:tr w14:paraId="1F923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7427E10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13</w:t>
            </w:r>
          </w:p>
        </w:tc>
        <w:tc>
          <w:tcPr>
            <w:tcW w:w="14023" w:type="dxa"/>
            <w:gridSpan w:val="3"/>
            <w:tcMar>
              <w:left w:w="45" w:type="dxa"/>
              <w:right w:w="45" w:type="dxa"/>
            </w:tcMar>
            <w:vAlign w:val="center"/>
          </w:tcPr>
          <w:p w14:paraId="74A800D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特种设备与常规冷热设备</w:t>
            </w:r>
          </w:p>
        </w:tc>
      </w:tr>
      <w:tr w14:paraId="34E97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DA6FBA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13.1</w:t>
            </w:r>
          </w:p>
        </w:tc>
        <w:tc>
          <w:tcPr>
            <w:tcW w:w="14023" w:type="dxa"/>
            <w:gridSpan w:val="3"/>
            <w:tcMar>
              <w:left w:w="45" w:type="dxa"/>
              <w:right w:w="45" w:type="dxa"/>
            </w:tcMar>
            <w:vAlign w:val="center"/>
          </w:tcPr>
          <w:p w14:paraId="67D2FF9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起重类设备</w:t>
            </w:r>
          </w:p>
        </w:tc>
      </w:tr>
      <w:tr w14:paraId="51A3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3EF076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13.1.1</w:t>
            </w:r>
          </w:p>
        </w:tc>
        <w:tc>
          <w:tcPr>
            <w:tcW w:w="3703" w:type="dxa"/>
            <w:tcMar>
              <w:left w:w="45" w:type="dxa"/>
              <w:right w:w="45" w:type="dxa"/>
            </w:tcMar>
            <w:vAlign w:val="center"/>
          </w:tcPr>
          <w:p w14:paraId="2D81630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达到《特种设备目录》中起重机械指标的起重设备须取得特种设备使用登记证</w:t>
            </w:r>
          </w:p>
        </w:tc>
        <w:tc>
          <w:tcPr>
            <w:tcW w:w="7777" w:type="dxa"/>
            <w:tcMar>
              <w:left w:w="45" w:type="dxa"/>
              <w:right w:w="45" w:type="dxa"/>
            </w:tcMar>
            <w:vAlign w:val="center"/>
          </w:tcPr>
          <w:p w14:paraId="0FE4220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267）额定起重量大于或者等于0.5t的升降机；额定起重量大于或者等于3t（或额定起重力矩大于或者等于40t·m的塔式起重机，或生产率大于或者等于300t/h的装卸桥），且提升高度大于或者等于2m的起重机；层数大于或者等于2层的机械式停车设备，须取得特种设备使用登记证。</w:t>
            </w:r>
          </w:p>
        </w:tc>
        <w:tc>
          <w:tcPr>
            <w:tcW w:w="2543" w:type="dxa"/>
            <w:tcMar>
              <w:left w:w="45" w:type="dxa"/>
              <w:right w:w="45" w:type="dxa"/>
            </w:tcMar>
            <w:vAlign w:val="center"/>
          </w:tcPr>
          <w:p w14:paraId="65FC79C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p>
        </w:tc>
      </w:tr>
      <w:tr w14:paraId="66C96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D59B50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13.1.2</w:t>
            </w:r>
          </w:p>
        </w:tc>
        <w:tc>
          <w:tcPr>
            <w:tcW w:w="3703" w:type="dxa"/>
            <w:tcMar>
              <w:left w:w="45" w:type="dxa"/>
              <w:right w:w="45" w:type="dxa"/>
            </w:tcMar>
            <w:vAlign w:val="center"/>
          </w:tcPr>
          <w:p w14:paraId="362980A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起重机械作业人员、检验单位须有相关资质</w:t>
            </w:r>
          </w:p>
        </w:tc>
        <w:tc>
          <w:tcPr>
            <w:tcW w:w="7777" w:type="dxa"/>
            <w:tcMar>
              <w:left w:w="45" w:type="dxa"/>
              <w:right w:w="45" w:type="dxa"/>
            </w:tcMar>
            <w:vAlign w:val="center"/>
          </w:tcPr>
          <w:p w14:paraId="3FCF8A61">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（268）起重机指挥、起重机司机须取得相应的特种设备安全管理和作业人员证，持证上岗，并每4年复审一次。</w:t>
            </w:r>
          </w:p>
          <w:p w14:paraId="24D31323">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（269）委托有资质的单位进行定期检验，并将《特种设备使用标志》置于特种设备的显著位置</w:t>
            </w:r>
          </w:p>
        </w:tc>
        <w:tc>
          <w:tcPr>
            <w:tcW w:w="2543" w:type="dxa"/>
            <w:tcMar>
              <w:left w:w="45" w:type="dxa"/>
              <w:right w:w="45" w:type="dxa"/>
            </w:tcMar>
            <w:vAlign w:val="center"/>
          </w:tcPr>
          <w:p w14:paraId="3832E99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r>
      <w:tr w14:paraId="62CEF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F2EC8F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13.1.3</w:t>
            </w:r>
          </w:p>
        </w:tc>
        <w:tc>
          <w:tcPr>
            <w:tcW w:w="3703" w:type="dxa"/>
            <w:tcMar>
              <w:left w:w="45" w:type="dxa"/>
              <w:right w:w="45" w:type="dxa"/>
            </w:tcMar>
            <w:vAlign w:val="center"/>
          </w:tcPr>
          <w:p w14:paraId="4DB1346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起重机械须定期保养，设置警示标识，安装防护设施</w:t>
            </w:r>
          </w:p>
        </w:tc>
        <w:tc>
          <w:tcPr>
            <w:tcW w:w="7777" w:type="dxa"/>
            <w:tcMar>
              <w:left w:w="45" w:type="dxa"/>
              <w:right w:w="45" w:type="dxa"/>
            </w:tcMar>
            <w:vAlign w:val="center"/>
          </w:tcPr>
          <w:p w14:paraId="4DD183B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（270）在用起重机械至少每月进行1次日常维护保养和自行检查，并做记录。</w:t>
            </w:r>
          </w:p>
          <w:p w14:paraId="54EF218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（271）制定安全操作规程，并在周边醒目位置张贴警示标识，有必要的安全距离和防护措施。</w:t>
            </w:r>
          </w:p>
          <w:p w14:paraId="38C4F3F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（272）起重设备声光报警正常，室内起重设备应标有运行通道。</w:t>
            </w:r>
          </w:p>
          <w:p w14:paraId="56824C3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color w:val="auto"/>
                <w:kern w:val="0"/>
                <w:szCs w:val="21"/>
              </w:rPr>
              <w:t>（273）废弃不用的起重机械应及时拆除</w:t>
            </w:r>
          </w:p>
        </w:tc>
        <w:tc>
          <w:tcPr>
            <w:tcW w:w="2543" w:type="dxa"/>
            <w:tcMar>
              <w:left w:w="45" w:type="dxa"/>
              <w:right w:w="45" w:type="dxa"/>
            </w:tcMar>
            <w:vAlign w:val="center"/>
          </w:tcPr>
          <w:p w14:paraId="12479FCC">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9BD8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C49F34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13.2</w:t>
            </w:r>
          </w:p>
        </w:tc>
        <w:tc>
          <w:tcPr>
            <w:tcW w:w="14023" w:type="dxa"/>
            <w:gridSpan w:val="3"/>
            <w:tcMar>
              <w:left w:w="45" w:type="dxa"/>
              <w:right w:w="45" w:type="dxa"/>
            </w:tcMar>
            <w:vAlign w:val="center"/>
          </w:tcPr>
          <w:p w14:paraId="20ED83E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r>
              <w:rPr>
                <w:rFonts w:hint="default" w:ascii="Times New Roman" w:hAnsi="Times New Roman" w:eastAsia="仿宋_GB2312" w:cs="Times New Roman"/>
                <w:b/>
                <w:color w:val="auto"/>
                <w:kern w:val="0"/>
                <w:szCs w:val="21"/>
              </w:rPr>
              <w:t>压力容器</w:t>
            </w:r>
          </w:p>
        </w:tc>
      </w:tr>
      <w:tr w14:paraId="2C1F0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E599D1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13.2.1</w:t>
            </w:r>
          </w:p>
        </w:tc>
        <w:tc>
          <w:tcPr>
            <w:tcW w:w="3703" w:type="dxa"/>
            <w:tcMar>
              <w:left w:w="45" w:type="dxa"/>
              <w:right w:w="45" w:type="dxa"/>
            </w:tcMar>
            <w:vAlign w:val="center"/>
          </w:tcPr>
          <w:p w14:paraId="63922609">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压力容器使用登记、相关人员资格</w:t>
            </w:r>
          </w:p>
        </w:tc>
        <w:tc>
          <w:tcPr>
            <w:tcW w:w="7777" w:type="dxa"/>
            <w:tcMar>
              <w:left w:w="45" w:type="dxa"/>
              <w:right w:w="45" w:type="dxa"/>
            </w:tcMar>
            <w:vAlign w:val="center"/>
          </w:tcPr>
          <w:p w14:paraId="4CE9DFAC">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274）盛装气体或者液体，承载一定压力的密闭设备，其范围规定为最高工作压力大于或者等于0.1MPa（表压）的气体、液化气体和最高工作温度高于或者等于标准沸点的液体、容积大于或者等于30L且内直径（非圆形截面指截面内边界最大几何尺寸）大于或者等于150mm的固定式容器和移动式容器，以及氧舱，</w:t>
            </w:r>
            <w:r>
              <w:rPr>
                <w:rFonts w:hint="default" w:ascii="Times New Roman" w:hAnsi="Times New Roman" w:eastAsia="仿宋_GB2312" w:cs="Times New Roman"/>
                <w:bCs/>
                <w:color w:val="auto"/>
                <w:kern w:val="0"/>
                <w:szCs w:val="21"/>
              </w:rPr>
              <w:t>须</w:t>
            </w:r>
            <w:r>
              <w:rPr>
                <w:rFonts w:hint="default" w:ascii="Times New Roman" w:hAnsi="Times New Roman" w:eastAsia="仿宋_GB2312" w:cs="Times New Roman"/>
                <w:color w:val="auto"/>
                <w:kern w:val="0"/>
                <w:szCs w:val="21"/>
              </w:rPr>
              <w:t>取得特种设备使用登记证。设备铭牌上标明为简单压力容器的无须办理。（气瓶的安全检查要点见9.6“实验室气体管理”）。</w:t>
            </w:r>
          </w:p>
          <w:p w14:paraId="41C66278">
            <w:pPr>
              <w:pageBreakBefore w:val="0"/>
              <w:widowControl/>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rPr>
              <w:t>（275）快开门式压力容器操作人员、移动式压力容器充装人员、氧舱维护保养人员、特种设备安全管理员应</w:t>
            </w:r>
            <w:r>
              <w:rPr>
                <w:rFonts w:hint="default" w:ascii="Times New Roman" w:hAnsi="Times New Roman" w:eastAsia="仿宋_GB2312" w:cs="Times New Roman"/>
                <w:color w:val="auto"/>
                <w:kern w:val="0"/>
                <w:szCs w:val="21"/>
              </w:rPr>
              <w:t>取得相应的特种设备安全管理和作业人员证，持证上岗，并每4年复审1次</w:t>
            </w:r>
          </w:p>
        </w:tc>
        <w:tc>
          <w:tcPr>
            <w:tcW w:w="2543" w:type="dxa"/>
            <w:tcMar>
              <w:left w:w="45" w:type="dxa"/>
              <w:right w:w="45" w:type="dxa"/>
            </w:tcMar>
            <w:vAlign w:val="center"/>
          </w:tcPr>
          <w:p w14:paraId="2DEA573B">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p>
        </w:tc>
      </w:tr>
      <w:tr w14:paraId="61E9D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13ABFAA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13.2.2</w:t>
            </w:r>
          </w:p>
        </w:tc>
        <w:tc>
          <w:tcPr>
            <w:tcW w:w="3703" w:type="dxa"/>
            <w:tcMar>
              <w:left w:w="45" w:type="dxa"/>
              <w:right w:w="45" w:type="dxa"/>
            </w:tcMar>
            <w:vAlign w:val="center"/>
          </w:tcPr>
          <w:p w14:paraId="59A9C550">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压力容器定期检验</w:t>
            </w:r>
          </w:p>
        </w:tc>
        <w:tc>
          <w:tcPr>
            <w:tcW w:w="7777" w:type="dxa"/>
            <w:tcMar>
              <w:left w:w="45" w:type="dxa"/>
              <w:right w:w="45" w:type="dxa"/>
            </w:tcMar>
            <w:vAlign w:val="center"/>
          </w:tcPr>
          <w:p w14:paraId="295F7F90">
            <w:pPr>
              <w:pageBreakBefore w:val="0"/>
              <w:widowControl/>
              <w:kinsoku/>
              <w:wordWrap/>
              <w:overflowPunct/>
              <w:topLinePunct w:val="0"/>
              <w:bidi w:val="0"/>
              <w:snapToGrid/>
              <w:spacing w:after="0"/>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color w:val="auto"/>
                <w:kern w:val="0"/>
                <w:szCs w:val="21"/>
              </w:rPr>
              <w:t>（276）</w:t>
            </w:r>
            <w:r>
              <w:rPr>
                <w:rFonts w:hint="default" w:ascii="Times New Roman" w:hAnsi="Times New Roman" w:eastAsia="仿宋_GB2312" w:cs="Times New Roman"/>
                <w:b/>
                <w:bCs/>
                <w:color w:val="auto"/>
                <w:kern w:val="0"/>
                <w:szCs w:val="21"/>
              </w:rPr>
              <w:t>委托有资质的单位进行定期检验，并将定期检验合格证置于特种设备的显著位置</w:t>
            </w:r>
          </w:p>
          <w:p w14:paraId="3FF253E5">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（277）</w:t>
            </w:r>
            <w:r>
              <w:rPr>
                <w:rFonts w:hint="default" w:ascii="Times New Roman" w:hAnsi="Times New Roman" w:eastAsia="仿宋_GB2312" w:cs="Times New Roman"/>
                <w:b/>
                <w:bCs/>
                <w:color w:val="auto"/>
                <w:kern w:val="0"/>
                <w:szCs w:val="21"/>
              </w:rPr>
              <w:t>安全阀或压力表等附件须委托有资质的单位定期校验或检定</w:t>
            </w:r>
          </w:p>
        </w:tc>
        <w:tc>
          <w:tcPr>
            <w:tcW w:w="2543" w:type="dxa"/>
            <w:tcMar>
              <w:left w:w="45" w:type="dxa"/>
              <w:right w:w="45" w:type="dxa"/>
            </w:tcMar>
            <w:vAlign w:val="center"/>
          </w:tcPr>
          <w:p w14:paraId="780565F2">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p>
        </w:tc>
      </w:tr>
      <w:tr w14:paraId="6E3F6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4D41CBD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13.2.3</w:t>
            </w:r>
          </w:p>
        </w:tc>
        <w:tc>
          <w:tcPr>
            <w:tcW w:w="3703" w:type="dxa"/>
            <w:tcMar>
              <w:left w:w="45" w:type="dxa"/>
              <w:right w:w="45" w:type="dxa"/>
            </w:tcMar>
            <w:vAlign w:val="center"/>
          </w:tcPr>
          <w:p w14:paraId="63ACA515">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压力容器使用管理</w:t>
            </w:r>
          </w:p>
        </w:tc>
        <w:tc>
          <w:tcPr>
            <w:tcW w:w="7777" w:type="dxa"/>
            <w:tcMar>
              <w:left w:w="45" w:type="dxa"/>
              <w:right w:w="45" w:type="dxa"/>
            </w:tcMar>
            <w:vAlign w:val="center"/>
          </w:tcPr>
          <w:p w14:paraId="27F70528">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（278）设置安全管理机构，配备安全管理负责人、安全管理人员和作业人员，建立各项安全管理制度，制定操作规程。</w:t>
            </w:r>
          </w:p>
          <w:p w14:paraId="36A01110">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（279）实验室应经常巡回检查，发现异常及时处理，并做记录。</w:t>
            </w:r>
          </w:p>
          <w:p w14:paraId="523C9DA5">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280）建立压力容器自行检查制度，对压力容器本体及其安全附件、装卸附件安全保护装置、测量调控装置、附属仪器仪表进行经常性维护保养，每月至少进行1次月度检查，每年至少进行1次年度检查，并做记录。</w:t>
            </w:r>
          </w:p>
          <w:p w14:paraId="3E4C0224">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（281）简单压力容器也应建立设备安全管理档案。</w:t>
            </w:r>
          </w:p>
          <w:p w14:paraId="7A21DB17">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（282）盛装可燃、爆炸性气体的压力容器，其电气设施应防爆，电器开关和熔断器都应设置在明显位置。室外放置的大型气罐应注意防雷</w:t>
            </w:r>
          </w:p>
        </w:tc>
        <w:tc>
          <w:tcPr>
            <w:tcW w:w="2543" w:type="dxa"/>
            <w:tcMar>
              <w:left w:w="45" w:type="dxa"/>
              <w:right w:w="45" w:type="dxa"/>
            </w:tcMar>
            <w:vAlign w:val="center"/>
          </w:tcPr>
          <w:p w14:paraId="0D8942A0">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p>
        </w:tc>
      </w:tr>
      <w:tr w14:paraId="26A35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FAE253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13.2.4</w:t>
            </w:r>
          </w:p>
        </w:tc>
        <w:tc>
          <w:tcPr>
            <w:tcW w:w="3703" w:type="dxa"/>
            <w:tcMar>
              <w:left w:w="45" w:type="dxa"/>
              <w:right w:w="45" w:type="dxa"/>
            </w:tcMar>
            <w:vAlign w:val="center"/>
          </w:tcPr>
          <w:p w14:paraId="2340BB58">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压力容器的使用年限及报废</w:t>
            </w:r>
          </w:p>
        </w:tc>
        <w:tc>
          <w:tcPr>
            <w:tcW w:w="7777" w:type="dxa"/>
            <w:tcMar>
              <w:left w:w="45" w:type="dxa"/>
              <w:right w:w="45" w:type="dxa"/>
            </w:tcMar>
            <w:vAlign w:val="center"/>
          </w:tcPr>
          <w:p w14:paraId="7EC433A0">
            <w:pPr>
              <w:pageBreakBefore w:val="0"/>
              <w:kinsoku/>
              <w:wordWrap/>
              <w:overflowPunct/>
              <w:topLinePunct w:val="0"/>
              <w:bidi w:val="0"/>
              <w:snapToGrid/>
              <w:spacing w:after="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（283）达到设计使用年限的压力容器应及时报废（未规定设计使用年限，但是使用超过20年的压力容器视为达到使用年限），如若超期使用必须进行检验和安全评估</w:t>
            </w:r>
          </w:p>
        </w:tc>
        <w:tc>
          <w:tcPr>
            <w:tcW w:w="2543" w:type="dxa"/>
            <w:tcMar>
              <w:left w:w="45" w:type="dxa"/>
              <w:right w:w="45" w:type="dxa"/>
            </w:tcMar>
            <w:vAlign w:val="center"/>
          </w:tcPr>
          <w:p w14:paraId="024549B6">
            <w:pPr>
              <w:pageBreakBefore w:val="0"/>
              <w:kinsoku/>
              <w:wordWrap/>
              <w:overflowPunct/>
              <w:topLinePunct w:val="0"/>
              <w:bidi w:val="0"/>
              <w:snapToGrid/>
              <w:spacing w:after="0"/>
              <w:textAlignment w:val="auto"/>
              <w:rPr>
                <w:rFonts w:hint="default" w:ascii="Times New Roman" w:hAnsi="Times New Roman" w:eastAsia="仿宋_GB2312" w:cs="Times New Roman"/>
                <w:bCs/>
                <w:color w:val="auto"/>
                <w:kern w:val="0"/>
                <w:szCs w:val="21"/>
              </w:rPr>
            </w:pPr>
          </w:p>
        </w:tc>
      </w:tr>
      <w:tr w14:paraId="5FEF8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3E271F2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13.3</w:t>
            </w:r>
          </w:p>
        </w:tc>
        <w:tc>
          <w:tcPr>
            <w:tcW w:w="14023" w:type="dxa"/>
            <w:gridSpan w:val="3"/>
            <w:tcMar>
              <w:left w:w="45" w:type="dxa"/>
              <w:right w:w="45" w:type="dxa"/>
            </w:tcMar>
            <w:vAlign w:val="center"/>
          </w:tcPr>
          <w:p w14:paraId="5B807DC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场（厂）内专用机动车辆</w:t>
            </w:r>
          </w:p>
        </w:tc>
      </w:tr>
      <w:tr w14:paraId="2F995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AC4E8C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13.3.1</w:t>
            </w:r>
          </w:p>
        </w:tc>
        <w:tc>
          <w:tcPr>
            <w:tcW w:w="3703" w:type="dxa"/>
            <w:tcMar>
              <w:left w:w="45" w:type="dxa"/>
              <w:right w:w="45" w:type="dxa"/>
            </w:tcMar>
            <w:vAlign w:val="center"/>
          </w:tcPr>
          <w:p w14:paraId="451E4813">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场（厂）内专用机动车辆须取得特种设备使用登记证</w:t>
            </w:r>
          </w:p>
        </w:tc>
        <w:tc>
          <w:tcPr>
            <w:tcW w:w="7777" w:type="dxa"/>
            <w:tcMar>
              <w:left w:w="45" w:type="dxa"/>
              <w:right w:w="45" w:type="dxa"/>
            </w:tcMar>
            <w:vAlign w:val="center"/>
          </w:tcPr>
          <w:p w14:paraId="1F6725C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（284）校园内使用的专用机动车辆须取得特种设备使用登记证</w:t>
            </w:r>
          </w:p>
        </w:tc>
        <w:tc>
          <w:tcPr>
            <w:tcW w:w="2543" w:type="dxa"/>
            <w:tcMar>
              <w:left w:w="45" w:type="dxa"/>
              <w:right w:w="45" w:type="dxa"/>
            </w:tcMar>
            <w:vAlign w:val="center"/>
          </w:tcPr>
          <w:p w14:paraId="2CC6420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F012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CA9DA8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13.3.2</w:t>
            </w:r>
          </w:p>
        </w:tc>
        <w:tc>
          <w:tcPr>
            <w:tcW w:w="3703" w:type="dxa"/>
            <w:tcMar>
              <w:left w:w="45" w:type="dxa"/>
              <w:right w:w="45" w:type="dxa"/>
            </w:tcMar>
            <w:vAlign w:val="center"/>
          </w:tcPr>
          <w:p w14:paraId="757FD5C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作业人员取得相应的特种设备安全管理和作业人员证，持证上岗</w:t>
            </w:r>
          </w:p>
        </w:tc>
        <w:tc>
          <w:tcPr>
            <w:tcW w:w="7777" w:type="dxa"/>
            <w:tcMar>
              <w:left w:w="45" w:type="dxa"/>
              <w:right w:w="45" w:type="dxa"/>
            </w:tcMar>
            <w:vAlign w:val="center"/>
          </w:tcPr>
          <w:p w14:paraId="26C43F17">
            <w:pPr>
              <w:pageBreakBefore w:val="0"/>
              <w:kinsoku/>
              <w:wordWrap/>
              <w:overflowPunct/>
              <w:topLinePunct w:val="0"/>
              <w:bidi w:val="0"/>
              <w:snapToGrid/>
              <w:spacing w:after="0"/>
              <w:textAlignment w:val="auto"/>
              <w:rPr>
                <w:rFonts w:hint="default" w:ascii="Times New Roman" w:hAnsi="Times New Roman" w:eastAsia="仿宋_GB2312" w:cs="Times New Roman"/>
                <w:b/>
                <w:bCs/>
                <w:color w:val="auto"/>
                <w:kern w:val="0"/>
                <w:szCs w:val="21"/>
              </w:rPr>
            </w:pPr>
            <w:r>
              <w:rPr>
                <w:rFonts w:hint="default" w:ascii="Times New Roman" w:hAnsi="Times New Roman" w:eastAsia="仿宋_GB2312" w:cs="Times New Roman"/>
                <w:color w:val="auto"/>
                <w:kern w:val="0"/>
                <w:szCs w:val="21"/>
              </w:rPr>
              <w:t>（285）作业人员取得相应的特种设备安全管理和作业人员证，证书在有效期内</w:t>
            </w:r>
          </w:p>
        </w:tc>
        <w:tc>
          <w:tcPr>
            <w:tcW w:w="2543" w:type="dxa"/>
            <w:tcMar>
              <w:left w:w="45" w:type="dxa"/>
              <w:right w:w="45" w:type="dxa"/>
            </w:tcMar>
            <w:vAlign w:val="center"/>
          </w:tcPr>
          <w:p w14:paraId="3C2A9F6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14A7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21A9830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13.3.3</w:t>
            </w:r>
          </w:p>
        </w:tc>
        <w:tc>
          <w:tcPr>
            <w:tcW w:w="3703" w:type="dxa"/>
            <w:tcMar>
              <w:left w:w="45" w:type="dxa"/>
              <w:right w:w="45" w:type="dxa"/>
            </w:tcMar>
            <w:vAlign w:val="center"/>
          </w:tcPr>
          <w:p w14:paraId="7AB9561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委托有资质的单位进行定期检验</w:t>
            </w:r>
          </w:p>
        </w:tc>
        <w:tc>
          <w:tcPr>
            <w:tcW w:w="7777" w:type="dxa"/>
            <w:tcMar>
              <w:left w:w="45" w:type="dxa"/>
              <w:right w:w="45" w:type="dxa"/>
            </w:tcMar>
            <w:vAlign w:val="center"/>
          </w:tcPr>
          <w:p w14:paraId="097D50F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（286）合格证在有效期内</w:t>
            </w:r>
          </w:p>
        </w:tc>
        <w:tc>
          <w:tcPr>
            <w:tcW w:w="2543" w:type="dxa"/>
            <w:tcMar>
              <w:left w:w="45" w:type="dxa"/>
              <w:right w:w="45" w:type="dxa"/>
            </w:tcMar>
            <w:vAlign w:val="center"/>
          </w:tcPr>
          <w:p w14:paraId="73EA978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2BE16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10A88F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13.4</w:t>
            </w:r>
          </w:p>
        </w:tc>
        <w:tc>
          <w:tcPr>
            <w:tcW w:w="14023" w:type="dxa"/>
            <w:gridSpan w:val="3"/>
            <w:tcMar>
              <w:left w:w="45" w:type="dxa"/>
              <w:right w:w="45" w:type="dxa"/>
            </w:tcMar>
            <w:vAlign w:val="center"/>
          </w:tcPr>
          <w:p w14:paraId="6498349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
                <w:color w:val="auto"/>
                <w:kern w:val="0"/>
                <w:szCs w:val="21"/>
              </w:rPr>
            </w:pPr>
            <w:r>
              <w:rPr>
                <w:rFonts w:hint="default" w:ascii="Times New Roman" w:hAnsi="Times New Roman" w:eastAsia="仿宋_GB2312" w:cs="Times New Roman"/>
                <w:b/>
                <w:color w:val="auto"/>
                <w:kern w:val="0"/>
                <w:szCs w:val="21"/>
              </w:rPr>
              <w:t>加热及制冷装置管理</w:t>
            </w:r>
          </w:p>
        </w:tc>
      </w:tr>
      <w:tr w14:paraId="747D0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05EEAEF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13.4.1</w:t>
            </w:r>
          </w:p>
        </w:tc>
        <w:tc>
          <w:tcPr>
            <w:tcW w:w="3703" w:type="dxa"/>
            <w:tcMar>
              <w:left w:w="45" w:type="dxa"/>
              <w:right w:w="45" w:type="dxa"/>
            </w:tcMar>
            <w:vAlign w:val="center"/>
          </w:tcPr>
          <w:p w14:paraId="11C5BA8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贮存危险化学品的冰箱满足防爆要求</w:t>
            </w:r>
          </w:p>
        </w:tc>
        <w:tc>
          <w:tcPr>
            <w:tcW w:w="7777" w:type="dxa"/>
            <w:tcMar>
              <w:left w:w="45" w:type="dxa"/>
              <w:right w:w="45" w:type="dxa"/>
            </w:tcMar>
            <w:vAlign w:val="center"/>
          </w:tcPr>
          <w:p w14:paraId="0F8778D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（287）贮存危险化学品的冰箱应为防爆冰箱或经过防爆改造的冰箱，并在冰箱门上注明是否防爆</w:t>
            </w:r>
          </w:p>
        </w:tc>
        <w:tc>
          <w:tcPr>
            <w:tcW w:w="2543" w:type="dxa"/>
            <w:tcMar>
              <w:left w:w="45" w:type="dxa"/>
              <w:right w:w="45" w:type="dxa"/>
            </w:tcMar>
            <w:vAlign w:val="center"/>
          </w:tcPr>
          <w:p w14:paraId="303310D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ED08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CB56D46">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13.4.2</w:t>
            </w:r>
          </w:p>
        </w:tc>
        <w:tc>
          <w:tcPr>
            <w:tcW w:w="3703" w:type="dxa"/>
            <w:tcMar>
              <w:left w:w="45" w:type="dxa"/>
              <w:right w:w="45" w:type="dxa"/>
            </w:tcMar>
            <w:vAlign w:val="center"/>
          </w:tcPr>
          <w:p w14:paraId="4B440D3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冰箱内存放的物品须标识明确，试剂必须可靠密封</w:t>
            </w:r>
          </w:p>
        </w:tc>
        <w:tc>
          <w:tcPr>
            <w:tcW w:w="7777" w:type="dxa"/>
            <w:tcMar>
              <w:left w:w="45" w:type="dxa"/>
              <w:right w:w="45" w:type="dxa"/>
            </w:tcMar>
            <w:vAlign w:val="center"/>
          </w:tcPr>
          <w:p w14:paraId="53355BE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（288）标识至少包括：名称、使用人、日期等，并经常清理。</w:t>
            </w:r>
          </w:p>
          <w:p w14:paraId="18CAEE4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（289）实验室冰箱中试剂瓶螺口拧紧，无开口容器，不得放置非实验用食品、药品。超低温冰箱门上有储物分区标识，置于走廊等区域的超低温冰箱须上锁</w:t>
            </w:r>
          </w:p>
        </w:tc>
        <w:tc>
          <w:tcPr>
            <w:tcW w:w="2543" w:type="dxa"/>
            <w:tcMar>
              <w:left w:w="45" w:type="dxa"/>
              <w:right w:w="45" w:type="dxa"/>
            </w:tcMar>
            <w:vAlign w:val="center"/>
          </w:tcPr>
          <w:p w14:paraId="7C0ECE7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11DCD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E2DF83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13.4.3</w:t>
            </w:r>
          </w:p>
        </w:tc>
        <w:tc>
          <w:tcPr>
            <w:tcW w:w="3703" w:type="dxa"/>
            <w:tcMar>
              <w:left w:w="45" w:type="dxa"/>
              <w:right w:w="45" w:type="dxa"/>
            </w:tcMar>
            <w:vAlign w:val="center"/>
          </w:tcPr>
          <w:p w14:paraId="64A2185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冰箱、烘箱、电阻炉的使用满足使用期间和空间等要求</w:t>
            </w:r>
          </w:p>
        </w:tc>
        <w:tc>
          <w:tcPr>
            <w:tcW w:w="7777" w:type="dxa"/>
            <w:tcMar>
              <w:left w:w="45" w:type="dxa"/>
              <w:right w:w="45" w:type="dxa"/>
            </w:tcMar>
            <w:vAlign w:val="center"/>
          </w:tcPr>
          <w:p w14:paraId="0C1C968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（290）冰箱不超期使用（一般使用期限控制为10年），如超期使用须经审批。</w:t>
            </w:r>
          </w:p>
          <w:p w14:paraId="15CC6CF4">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（291）冰箱周围留出足够空间，周围不堆放杂物，不影响散热。</w:t>
            </w:r>
          </w:p>
          <w:p w14:paraId="17E95D3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（292）烘箱、电阻炉不超期使用（一般使用期限控制为12年），如超期使用须经审批。</w:t>
            </w:r>
          </w:p>
          <w:p w14:paraId="057D029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（293）加热设备应放置在通风干燥处，不直接放置在木桌、木板等易燃物品上，周围有一定的散热空间，设备旁不能放置易燃易爆化学品、气瓶、冰箱、杂物等，应远离配电箱、插座、接线板等设备</w:t>
            </w:r>
          </w:p>
        </w:tc>
        <w:tc>
          <w:tcPr>
            <w:tcW w:w="2543" w:type="dxa"/>
            <w:tcMar>
              <w:left w:w="45" w:type="dxa"/>
              <w:right w:w="45" w:type="dxa"/>
            </w:tcMar>
            <w:vAlign w:val="center"/>
          </w:tcPr>
          <w:p w14:paraId="0288E4A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bCs/>
                <w:color w:val="auto"/>
                <w:kern w:val="0"/>
                <w:szCs w:val="21"/>
              </w:rPr>
            </w:pPr>
          </w:p>
        </w:tc>
      </w:tr>
      <w:tr w14:paraId="351D9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5A29A25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13.4.4</w:t>
            </w:r>
          </w:p>
        </w:tc>
        <w:tc>
          <w:tcPr>
            <w:tcW w:w="3703" w:type="dxa"/>
            <w:tcMar>
              <w:left w:w="45" w:type="dxa"/>
              <w:right w:w="45" w:type="dxa"/>
            </w:tcMar>
            <w:vAlign w:val="center"/>
          </w:tcPr>
          <w:p w14:paraId="2A2C41E7">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烘箱、电阻炉等加热设备须制定安全操作规程</w:t>
            </w:r>
          </w:p>
        </w:tc>
        <w:tc>
          <w:tcPr>
            <w:tcW w:w="7777" w:type="dxa"/>
            <w:tcMar>
              <w:left w:w="45" w:type="dxa"/>
              <w:right w:w="45" w:type="dxa"/>
            </w:tcMar>
            <w:vAlign w:val="center"/>
          </w:tcPr>
          <w:p w14:paraId="58CD1A1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（294）加热设备周边醒目位置张贴高温警示标志，并有必要的防护措施，张贴有安全操作规程、警示标志。</w:t>
            </w:r>
          </w:p>
          <w:p w14:paraId="56D923B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（295）</w:t>
            </w:r>
            <w:r>
              <w:rPr>
                <w:rFonts w:hint="default" w:ascii="Times New Roman" w:hAnsi="Times New Roman" w:eastAsia="仿宋_GB2312" w:cs="Times New Roman"/>
                <w:b/>
                <w:bCs/>
                <w:color w:val="auto"/>
                <w:kern w:val="0"/>
                <w:szCs w:val="21"/>
              </w:rPr>
              <w:t>烘箱等加热设备内不准烘烤易燃易爆试剂及易燃物品。</w:t>
            </w:r>
          </w:p>
          <w:p w14:paraId="5716BB85">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（296）不得使用塑料筐等易燃容器盛放实验物品在烘箱等加热设备内烘烤。</w:t>
            </w:r>
          </w:p>
          <w:p w14:paraId="71775BA8">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（297）烘箱使用完毕，清理物品、切断电源，确认其冷却至安全温度后方能离开。</w:t>
            </w:r>
          </w:p>
          <w:p w14:paraId="52528C79">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（298）使用电阻炉等明火设备时有人值守。</w:t>
            </w:r>
          </w:p>
          <w:p w14:paraId="0E392D5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（299）使用加热设备时，温度较高的实验须有人值守或有实时监控措施</w:t>
            </w:r>
          </w:p>
        </w:tc>
        <w:tc>
          <w:tcPr>
            <w:tcW w:w="2543" w:type="dxa"/>
            <w:tcMar>
              <w:left w:w="45" w:type="dxa"/>
              <w:right w:w="45" w:type="dxa"/>
            </w:tcMar>
            <w:vAlign w:val="center"/>
          </w:tcPr>
          <w:p w14:paraId="0D46E93A">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r>
      <w:tr w14:paraId="29471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48" w:type="dxa"/>
            <w:tcMar>
              <w:left w:w="45" w:type="dxa"/>
              <w:right w:w="45" w:type="dxa"/>
            </w:tcMar>
            <w:vAlign w:val="center"/>
          </w:tcPr>
          <w:p w14:paraId="6A851512">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13.4.5</w:t>
            </w:r>
          </w:p>
        </w:tc>
        <w:tc>
          <w:tcPr>
            <w:tcW w:w="3703" w:type="dxa"/>
            <w:tcMar>
              <w:left w:w="45" w:type="dxa"/>
              <w:right w:w="45" w:type="dxa"/>
            </w:tcMar>
            <w:vAlign w:val="center"/>
          </w:tcPr>
          <w:p w14:paraId="1CDB7C40">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使用明火电炉或者电吹风须有安全防范举措</w:t>
            </w:r>
          </w:p>
        </w:tc>
        <w:tc>
          <w:tcPr>
            <w:tcW w:w="7777" w:type="dxa"/>
            <w:tcMar>
              <w:left w:w="45" w:type="dxa"/>
              <w:right w:w="45" w:type="dxa"/>
            </w:tcMar>
            <w:vAlign w:val="center"/>
          </w:tcPr>
          <w:p w14:paraId="195548A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（300）涉及化学品的实验室不使用明火电炉。如必须使用，须有安全防范措施。</w:t>
            </w:r>
          </w:p>
          <w:p w14:paraId="5BD6C5FB">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（301）</w:t>
            </w:r>
            <w:r>
              <w:rPr>
                <w:rFonts w:hint="default" w:ascii="Times New Roman" w:hAnsi="Times New Roman" w:eastAsia="仿宋_GB2312" w:cs="Times New Roman"/>
                <w:b/>
                <w:bCs/>
                <w:color w:val="auto"/>
                <w:kern w:val="0"/>
                <w:szCs w:val="21"/>
              </w:rPr>
              <w:t>不使用明火电炉加热易燃易爆试剂。</w:t>
            </w:r>
          </w:p>
          <w:p w14:paraId="173C6B71">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（302）明火电炉、电吹风、电热枪等用毕，须及时拔除电源插头。</w:t>
            </w:r>
          </w:p>
          <w:p w14:paraId="71480B3F">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（303）不可用纸质、木质等材料自制红外灯烘箱</w:t>
            </w:r>
          </w:p>
        </w:tc>
        <w:tc>
          <w:tcPr>
            <w:tcW w:w="2543" w:type="dxa"/>
            <w:tcMar>
              <w:left w:w="45" w:type="dxa"/>
              <w:right w:w="45" w:type="dxa"/>
            </w:tcMar>
            <w:vAlign w:val="center"/>
          </w:tcPr>
          <w:p w14:paraId="709ED9CE">
            <w:pPr>
              <w:pageBreakBefore w:val="0"/>
              <w:widowControl/>
              <w:kinsoku/>
              <w:wordWrap/>
              <w:overflowPunct/>
              <w:topLinePunct w:val="0"/>
              <w:bidi w:val="0"/>
              <w:snapToGrid/>
              <w:spacing w:after="0" w:line="300" w:lineRule="exact"/>
              <w:textAlignment w:val="auto"/>
              <w:rPr>
                <w:rFonts w:hint="default" w:ascii="Times New Roman" w:hAnsi="Times New Roman" w:eastAsia="仿宋_GB2312" w:cs="Times New Roman"/>
                <w:color w:val="auto"/>
                <w:kern w:val="0"/>
                <w:szCs w:val="21"/>
              </w:rPr>
            </w:pPr>
          </w:p>
        </w:tc>
      </w:tr>
    </w:tbl>
    <w:p w14:paraId="112569B2">
      <w:pPr>
        <w:adjustRightInd w:val="0"/>
        <w:snapToGrid w:val="0"/>
        <w:spacing w:before="156" w:beforeLines="50"/>
        <w:rPr>
          <w:rFonts w:eastAsia="仿宋"/>
        </w:rPr>
      </w:pPr>
      <w:r>
        <w:rPr>
          <w:rFonts w:hint="default" w:ascii="Times New Roman" w:hAnsi="Times New Roman" w:eastAsia="仿宋_GB2312" w:cs="Times New Roman"/>
        </w:rPr>
        <w:t>注：本表所列为基本安全隐患，对于其他各类未尽的安全隐患，务必高度重视，严格按照有关部门安全管理要求，并结合高校自身实际情况，全面加强实验室安全管理工作。</w:t>
      </w:r>
    </w:p>
    <w:p w14:paraId="44A5C918">
      <w:pPr>
        <w:adjustRightInd w:val="0"/>
        <w:snapToGrid w:val="0"/>
        <w:spacing w:before="156" w:beforeLines="50"/>
        <w:rPr>
          <w:rFonts w:eastAsia="仿宋"/>
        </w:rPr>
      </w:pPr>
    </w:p>
    <w:sectPr>
      <w:footerReference r:id="rId5" w:type="default"/>
      <w:pgSz w:w="16838" w:h="11906" w:orient="landscape"/>
      <w:pgMar w:top="1247" w:right="1587" w:bottom="1077" w:left="1588" w:header="851" w:footer="794" w:gutter="0"/>
      <w:pgNumType w:fmt="decimal" w:start="18"/>
      <w:cols w:space="720"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文鼎大标宋简">
    <w:altName w:val="宋体"/>
    <w:panose1 w:val="00000000000000000000"/>
    <w:charset w:val="86"/>
    <w:family w:val="roman"/>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1CC59">
    <w:pPr>
      <w:pStyle w:val="13"/>
      <w:jc w:val="cente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89B97A">
                          <w:pPr>
                            <w:pStyle w:val="13"/>
                            <w:keepNext w:val="0"/>
                            <w:keepLines w:val="0"/>
                            <w:pageBreakBefore w:val="0"/>
                            <w:widowControl w:val="0"/>
                            <w:kinsoku/>
                            <w:wordWrap/>
                            <w:overflowPunct/>
                            <w:topLinePunct w:val="0"/>
                            <w:autoSpaceDE/>
                            <w:autoSpaceDN/>
                            <w:bidi w:val="0"/>
                            <w:adjustRightInd/>
                            <w:snapToGrid w:val="0"/>
                            <w:spacing w:after="0" w:line="240" w:lineRule="auto"/>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default" w:ascii="Times New Roman" w:hAnsi="Times New Roman" w:eastAsia="宋体" w:cs="Times New Roman"/>
                              <w:sz w:val="28"/>
                              <w:szCs w:val="28"/>
                            </w:rPr>
                            <w:fldChar w:fldCharType="begin"/>
                          </w:r>
                          <w:r>
                            <w:rPr>
                              <w:rFonts w:hint="default" w:ascii="Times New Roman" w:hAnsi="Times New Roman" w:eastAsia="宋体" w:cs="Times New Roman"/>
                              <w:sz w:val="28"/>
                              <w:szCs w:val="28"/>
                            </w:rPr>
                            <w:instrText xml:space="preserve"> PAGE  \* MERGEFORMAT </w:instrText>
                          </w:r>
                          <w:r>
                            <w:rPr>
                              <w:rFonts w:hint="default" w:ascii="Times New Roman" w:hAnsi="Times New Roman" w:eastAsia="宋体" w:cs="Times New Roman"/>
                              <w:sz w:val="28"/>
                              <w:szCs w:val="28"/>
                            </w:rPr>
                            <w:fldChar w:fldCharType="separate"/>
                          </w:r>
                          <w:r>
                            <w:rPr>
                              <w:rFonts w:hint="default" w:ascii="Times New Roman" w:hAnsi="Times New Roman" w:eastAsia="宋体" w:cs="Times New Roman"/>
                              <w:sz w:val="28"/>
                              <w:szCs w:val="28"/>
                            </w:rPr>
                            <w:t>6</w:t>
                          </w:r>
                          <w:r>
                            <w:rPr>
                              <w:rFonts w:hint="default" w:ascii="Times New Roman" w:hAnsi="Times New Roman" w:eastAsia="宋体" w:cs="Times New Roman"/>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0989B97A">
                    <w:pPr>
                      <w:pStyle w:val="13"/>
                      <w:keepNext w:val="0"/>
                      <w:keepLines w:val="0"/>
                      <w:pageBreakBefore w:val="0"/>
                      <w:widowControl w:val="0"/>
                      <w:kinsoku/>
                      <w:wordWrap/>
                      <w:overflowPunct/>
                      <w:topLinePunct w:val="0"/>
                      <w:autoSpaceDE/>
                      <w:autoSpaceDN/>
                      <w:bidi w:val="0"/>
                      <w:adjustRightInd/>
                      <w:snapToGrid w:val="0"/>
                      <w:spacing w:after="0" w:line="240" w:lineRule="auto"/>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default" w:ascii="Times New Roman" w:hAnsi="Times New Roman" w:eastAsia="宋体" w:cs="Times New Roman"/>
                        <w:sz w:val="28"/>
                        <w:szCs w:val="28"/>
                      </w:rPr>
                      <w:fldChar w:fldCharType="begin"/>
                    </w:r>
                    <w:r>
                      <w:rPr>
                        <w:rFonts w:hint="default" w:ascii="Times New Roman" w:hAnsi="Times New Roman" w:eastAsia="宋体" w:cs="Times New Roman"/>
                        <w:sz w:val="28"/>
                        <w:szCs w:val="28"/>
                      </w:rPr>
                      <w:instrText xml:space="preserve"> PAGE  \* MERGEFORMAT </w:instrText>
                    </w:r>
                    <w:r>
                      <w:rPr>
                        <w:rFonts w:hint="default" w:ascii="Times New Roman" w:hAnsi="Times New Roman" w:eastAsia="宋体" w:cs="Times New Roman"/>
                        <w:sz w:val="28"/>
                        <w:szCs w:val="28"/>
                      </w:rPr>
                      <w:fldChar w:fldCharType="separate"/>
                    </w:r>
                    <w:r>
                      <w:rPr>
                        <w:rFonts w:hint="default" w:ascii="Times New Roman" w:hAnsi="Times New Roman" w:eastAsia="宋体" w:cs="Times New Roman"/>
                        <w:sz w:val="28"/>
                        <w:szCs w:val="28"/>
                      </w:rPr>
                      <w:t>6</w:t>
                    </w:r>
                    <w:r>
                      <w:rPr>
                        <w:rFonts w:hint="default" w:ascii="Times New Roman" w:hAnsi="Times New Roman" w:eastAsia="宋体" w:cs="Times New Roman"/>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1"/>
  <w:bordersDoNotSurroundHeader w:val="1"/>
  <w:bordersDoNotSurroundFooter w:val="1"/>
  <w:documentProtection w:enforcement="0"/>
  <w:defaultTabStop w:val="420"/>
  <w:doNotHyphenateCaps/>
  <w:drawingGridHorizontalSpacing w:val="105"/>
  <w:drawingGridVerticalSpacing w:val="156"/>
  <w:noPunctuationKerning w:val="1"/>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djZjdhYjIzNjQ4ZjhlZjAxMDMzZTBkMzU1MjczYmMifQ=="/>
  </w:docVars>
  <w:rsids>
    <w:rsidRoot w:val="001040F3"/>
    <w:rsid w:val="0000096B"/>
    <w:rsid w:val="00000F53"/>
    <w:rsid w:val="00000FA6"/>
    <w:rsid w:val="00001131"/>
    <w:rsid w:val="00001890"/>
    <w:rsid w:val="00001B5F"/>
    <w:rsid w:val="00001F2B"/>
    <w:rsid w:val="000034C6"/>
    <w:rsid w:val="000038DB"/>
    <w:rsid w:val="00003903"/>
    <w:rsid w:val="00005CA5"/>
    <w:rsid w:val="00005E28"/>
    <w:rsid w:val="000061AE"/>
    <w:rsid w:val="0000690C"/>
    <w:rsid w:val="00007957"/>
    <w:rsid w:val="00012096"/>
    <w:rsid w:val="00012558"/>
    <w:rsid w:val="0001270F"/>
    <w:rsid w:val="00014177"/>
    <w:rsid w:val="00016CC4"/>
    <w:rsid w:val="000178F5"/>
    <w:rsid w:val="00017B97"/>
    <w:rsid w:val="00020325"/>
    <w:rsid w:val="0002040B"/>
    <w:rsid w:val="00021729"/>
    <w:rsid w:val="000225B1"/>
    <w:rsid w:val="000257E9"/>
    <w:rsid w:val="00025D3E"/>
    <w:rsid w:val="00027CE8"/>
    <w:rsid w:val="00030DF5"/>
    <w:rsid w:val="00032348"/>
    <w:rsid w:val="00032864"/>
    <w:rsid w:val="000338EE"/>
    <w:rsid w:val="00033DED"/>
    <w:rsid w:val="000344B2"/>
    <w:rsid w:val="000349B9"/>
    <w:rsid w:val="000349F6"/>
    <w:rsid w:val="00035A9B"/>
    <w:rsid w:val="00036149"/>
    <w:rsid w:val="00037567"/>
    <w:rsid w:val="00040017"/>
    <w:rsid w:val="00040212"/>
    <w:rsid w:val="0004022D"/>
    <w:rsid w:val="00041761"/>
    <w:rsid w:val="00045838"/>
    <w:rsid w:val="00045948"/>
    <w:rsid w:val="00045AFE"/>
    <w:rsid w:val="000500EB"/>
    <w:rsid w:val="000507E2"/>
    <w:rsid w:val="00050A3F"/>
    <w:rsid w:val="000517F1"/>
    <w:rsid w:val="000534B0"/>
    <w:rsid w:val="000539E4"/>
    <w:rsid w:val="00054FE8"/>
    <w:rsid w:val="0005502C"/>
    <w:rsid w:val="000552ED"/>
    <w:rsid w:val="000561EB"/>
    <w:rsid w:val="00057A85"/>
    <w:rsid w:val="000603C4"/>
    <w:rsid w:val="00061589"/>
    <w:rsid w:val="000622E7"/>
    <w:rsid w:val="0006294E"/>
    <w:rsid w:val="00062B6A"/>
    <w:rsid w:val="000631C4"/>
    <w:rsid w:val="00063601"/>
    <w:rsid w:val="00064691"/>
    <w:rsid w:val="00064B2A"/>
    <w:rsid w:val="00064D61"/>
    <w:rsid w:val="00065355"/>
    <w:rsid w:val="000662B9"/>
    <w:rsid w:val="00067A83"/>
    <w:rsid w:val="0007099A"/>
    <w:rsid w:val="0007264E"/>
    <w:rsid w:val="000730A7"/>
    <w:rsid w:val="000733A6"/>
    <w:rsid w:val="000740FE"/>
    <w:rsid w:val="00074118"/>
    <w:rsid w:val="00075121"/>
    <w:rsid w:val="00075372"/>
    <w:rsid w:val="000758AC"/>
    <w:rsid w:val="000774B2"/>
    <w:rsid w:val="00077C5B"/>
    <w:rsid w:val="000841ED"/>
    <w:rsid w:val="00085302"/>
    <w:rsid w:val="00085554"/>
    <w:rsid w:val="00085646"/>
    <w:rsid w:val="00085E6C"/>
    <w:rsid w:val="000862FF"/>
    <w:rsid w:val="00087332"/>
    <w:rsid w:val="0009012A"/>
    <w:rsid w:val="0009014C"/>
    <w:rsid w:val="00090D7D"/>
    <w:rsid w:val="000927AE"/>
    <w:rsid w:val="00094034"/>
    <w:rsid w:val="00095097"/>
    <w:rsid w:val="0009613B"/>
    <w:rsid w:val="0009716A"/>
    <w:rsid w:val="00097205"/>
    <w:rsid w:val="00097C0F"/>
    <w:rsid w:val="000A2040"/>
    <w:rsid w:val="000A29D9"/>
    <w:rsid w:val="000A3CF6"/>
    <w:rsid w:val="000A4456"/>
    <w:rsid w:val="000A4F36"/>
    <w:rsid w:val="000A52D6"/>
    <w:rsid w:val="000A645B"/>
    <w:rsid w:val="000A7A7A"/>
    <w:rsid w:val="000B02CC"/>
    <w:rsid w:val="000B1A65"/>
    <w:rsid w:val="000B1EB0"/>
    <w:rsid w:val="000B2614"/>
    <w:rsid w:val="000B2D2C"/>
    <w:rsid w:val="000B340F"/>
    <w:rsid w:val="000B3CC6"/>
    <w:rsid w:val="000B3E2E"/>
    <w:rsid w:val="000B4F55"/>
    <w:rsid w:val="000B58F2"/>
    <w:rsid w:val="000B60EE"/>
    <w:rsid w:val="000B633A"/>
    <w:rsid w:val="000B6369"/>
    <w:rsid w:val="000B6445"/>
    <w:rsid w:val="000B6BC0"/>
    <w:rsid w:val="000B6E5F"/>
    <w:rsid w:val="000B71E7"/>
    <w:rsid w:val="000C0F04"/>
    <w:rsid w:val="000C4AF4"/>
    <w:rsid w:val="000C505D"/>
    <w:rsid w:val="000C52A4"/>
    <w:rsid w:val="000C62A8"/>
    <w:rsid w:val="000C6456"/>
    <w:rsid w:val="000C70C0"/>
    <w:rsid w:val="000C7BC8"/>
    <w:rsid w:val="000D0C65"/>
    <w:rsid w:val="000D1897"/>
    <w:rsid w:val="000D1D39"/>
    <w:rsid w:val="000D21C6"/>
    <w:rsid w:val="000D40D9"/>
    <w:rsid w:val="000D6F10"/>
    <w:rsid w:val="000D7D16"/>
    <w:rsid w:val="000E030A"/>
    <w:rsid w:val="000E17CE"/>
    <w:rsid w:val="000E1AAB"/>
    <w:rsid w:val="000E2B06"/>
    <w:rsid w:val="000E2BD1"/>
    <w:rsid w:val="000E624C"/>
    <w:rsid w:val="000E6B3A"/>
    <w:rsid w:val="000E6E22"/>
    <w:rsid w:val="000F0134"/>
    <w:rsid w:val="000F1C49"/>
    <w:rsid w:val="000F2192"/>
    <w:rsid w:val="000F23FC"/>
    <w:rsid w:val="000F26AC"/>
    <w:rsid w:val="000F33FC"/>
    <w:rsid w:val="000F3BF9"/>
    <w:rsid w:val="000F3E6D"/>
    <w:rsid w:val="000F55F2"/>
    <w:rsid w:val="000F5D66"/>
    <w:rsid w:val="000F5DDF"/>
    <w:rsid w:val="000F5DE4"/>
    <w:rsid w:val="000F6802"/>
    <w:rsid w:val="000F71A8"/>
    <w:rsid w:val="001008AD"/>
    <w:rsid w:val="0010097D"/>
    <w:rsid w:val="00100E66"/>
    <w:rsid w:val="001013B9"/>
    <w:rsid w:val="0010152B"/>
    <w:rsid w:val="00102F64"/>
    <w:rsid w:val="001035DF"/>
    <w:rsid w:val="001040F3"/>
    <w:rsid w:val="00105938"/>
    <w:rsid w:val="001059FE"/>
    <w:rsid w:val="00107176"/>
    <w:rsid w:val="00107337"/>
    <w:rsid w:val="001073B8"/>
    <w:rsid w:val="00107532"/>
    <w:rsid w:val="00107564"/>
    <w:rsid w:val="00107F92"/>
    <w:rsid w:val="001112B5"/>
    <w:rsid w:val="00111859"/>
    <w:rsid w:val="001119FB"/>
    <w:rsid w:val="00111AA5"/>
    <w:rsid w:val="001137D6"/>
    <w:rsid w:val="00113C6B"/>
    <w:rsid w:val="00114210"/>
    <w:rsid w:val="00114A79"/>
    <w:rsid w:val="00117113"/>
    <w:rsid w:val="00117E7E"/>
    <w:rsid w:val="00120B03"/>
    <w:rsid w:val="00120D87"/>
    <w:rsid w:val="00120E00"/>
    <w:rsid w:val="00120EAE"/>
    <w:rsid w:val="00120EFB"/>
    <w:rsid w:val="00121081"/>
    <w:rsid w:val="001211F9"/>
    <w:rsid w:val="0012236F"/>
    <w:rsid w:val="00122754"/>
    <w:rsid w:val="00122820"/>
    <w:rsid w:val="0012290E"/>
    <w:rsid w:val="0012298A"/>
    <w:rsid w:val="00123622"/>
    <w:rsid w:val="001241E5"/>
    <w:rsid w:val="00124A64"/>
    <w:rsid w:val="00124E9A"/>
    <w:rsid w:val="00125413"/>
    <w:rsid w:val="00125C51"/>
    <w:rsid w:val="00125E2C"/>
    <w:rsid w:val="00125E66"/>
    <w:rsid w:val="00126CE4"/>
    <w:rsid w:val="0012755C"/>
    <w:rsid w:val="00127CD6"/>
    <w:rsid w:val="0013068D"/>
    <w:rsid w:val="00131CE5"/>
    <w:rsid w:val="00132C04"/>
    <w:rsid w:val="00132CA5"/>
    <w:rsid w:val="001334D8"/>
    <w:rsid w:val="00133CBD"/>
    <w:rsid w:val="00134003"/>
    <w:rsid w:val="00135444"/>
    <w:rsid w:val="00135DBD"/>
    <w:rsid w:val="0013645C"/>
    <w:rsid w:val="00136E51"/>
    <w:rsid w:val="001377DF"/>
    <w:rsid w:val="00137D6F"/>
    <w:rsid w:val="001402F3"/>
    <w:rsid w:val="00142F28"/>
    <w:rsid w:val="00142F90"/>
    <w:rsid w:val="00143F64"/>
    <w:rsid w:val="00144DB2"/>
    <w:rsid w:val="001473EB"/>
    <w:rsid w:val="001507F7"/>
    <w:rsid w:val="00150BB5"/>
    <w:rsid w:val="00150D34"/>
    <w:rsid w:val="001517D4"/>
    <w:rsid w:val="00152021"/>
    <w:rsid w:val="0015410B"/>
    <w:rsid w:val="0015434E"/>
    <w:rsid w:val="001545EA"/>
    <w:rsid w:val="00154F77"/>
    <w:rsid w:val="0015570F"/>
    <w:rsid w:val="00155B14"/>
    <w:rsid w:val="001563F6"/>
    <w:rsid w:val="00156A91"/>
    <w:rsid w:val="001571CD"/>
    <w:rsid w:val="00157D28"/>
    <w:rsid w:val="001601BC"/>
    <w:rsid w:val="001606A2"/>
    <w:rsid w:val="001611F7"/>
    <w:rsid w:val="001625B1"/>
    <w:rsid w:val="001627DB"/>
    <w:rsid w:val="00163FE8"/>
    <w:rsid w:val="00164ED2"/>
    <w:rsid w:val="00164FF6"/>
    <w:rsid w:val="00166F15"/>
    <w:rsid w:val="001704DE"/>
    <w:rsid w:val="00170665"/>
    <w:rsid w:val="00171905"/>
    <w:rsid w:val="00171EB3"/>
    <w:rsid w:val="0017248E"/>
    <w:rsid w:val="001737D6"/>
    <w:rsid w:val="0017389B"/>
    <w:rsid w:val="00173F8C"/>
    <w:rsid w:val="001748A0"/>
    <w:rsid w:val="00175BFD"/>
    <w:rsid w:val="00175F72"/>
    <w:rsid w:val="0017785B"/>
    <w:rsid w:val="00177A28"/>
    <w:rsid w:val="00177A81"/>
    <w:rsid w:val="0018014D"/>
    <w:rsid w:val="001805A6"/>
    <w:rsid w:val="00180E01"/>
    <w:rsid w:val="001829C0"/>
    <w:rsid w:val="00187AC7"/>
    <w:rsid w:val="00187B34"/>
    <w:rsid w:val="00190122"/>
    <w:rsid w:val="001902EC"/>
    <w:rsid w:val="00190F17"/>
    <w:rsid w:val="00190FE8"/>
    <w:rsid w:val="001915CE"/>
    <w:rsid w:val="001938A3"/>
    <w:rsid w:val="00195F30"/>
    <w:rsid w:val="00196097"/>
    <w:rsid w:val="00196EFB"/>
    <w:rsid w:val="00197334"/>
    <w:rsid w:val="001979A5"/>
    <w:rsid w:val="001A2900"/>
    <w:rsid w:val="001A3AAC"/>
    <w:rsid w:val="001A4531"/>
    <w:rsid w:val="001A4938"/>
    <w:rsid w:val="001A49FA"/>
    <w:rsid w:val="001A4DD0"/>
    <w:rsid w:val="001A4EC2"/>
    <w:rsid w:val="001A70CA"/>
    <w:rsid w:val="001A7A73"/>
    <w:rsid w:val="001A7BF6"/>
    <w:rsid w:val="001B00C2"/>
    <w:rsid w:val="001B0B26"/>
    <w:rsid w:val="001B1667"/>
    <w:rsid w:val="001B16DB"/>
    <w:rsid w:val="001B1CF6"/>
    <w:rsid w:val="001B23B2"/>
    <w:rsid w:val="001B2652"/>
    <w:rsid w:val="001B2B5D"/>
    <w:rsid w:val="001B4744"/>
    <w:rsid w:val="001B6C41"/>
    <w:rsid w:val="001B7928"/>
    <w:rsid w:val="001C0804"/>
    <w:rsid w:val="001C0BE4"/>
    <w:rsid w:val="001C1543"/>
    <w:rsid w:val="001C40FD"/>
    <w:rsid w:val="001C631D"/>
    <w:rsid w:val="001C6397"/>
    <w:rsid w:val="001C67CC"/>
    <w:rsid w:val="001C6AB0"/>
    <w:rsid w:val="001C70FA"/>
    <w:rsid w:val="001C75E4"/>
    <w:rsid w:val="001D001C"/>
    <w:rsid w:val="001D0302"/>
    <w:rsid w:val="001D085A"/>
    <w:rsid w:val="001D115C"/>
    <w:rsid w:val="001D1470"/>
    <w:rsid w:val="001D1664"/>
    <w:rsid w:val="001D1670"/>
    <w:rsid w:val="001D1733"/>
    <w:rsid w:val="001D1BCD"/>
    <w:rsid w:val="001D1D96"/>
    <w:rsid w:val="001D232E"/>
    <w:rsid w:val="001D2C13"/>
    <w:rsid w:val="001D302D"/>
    <w:rsid w:val="001D3868"/>
    <w:rsid w:val="001D46C5"/>
    <w:rsid w:val="001D5AB5"/>
    <w:rsid w:val="001D73F2"/>
    <w:rsid w:val="001D7DE8"/>
    <w:rsid w:val="001D7E98"/>
    <w:rsid w:val="001E030F"/>
    <w:rsid w:val="001E15E2"/>
    <w:rsid w:val="001E29CE"/>
    <w:rsid w:val="001E2D52"/>
    <w:rsid w:val="001E2F20"/>
    <w:rsid w:val="001E2F2E"/>
    <w:rsid w:val="001E3222"/>
    <w:rsid w:val="001E4D98"/>
    <w:rsid w:val="001E5D10"/>
    <w:rsid w:val="001E5D72"/>
    <w:rsid w:val="001E5EED"/>
    <w:rsid w:val="001E5FBD"/>
    <w:rsid w:val="001E69FE"/>
    <w:rsid w:val="001E6AF6"/>
    <w:rsid w:val="001E6BEB"/>
    <w:rsid w:val="001E72FC"/>
    <w:rsid w:val="001E7516"/>
    <w:rsid w:val="001E7EDD"/>
    <w:rsid w:val="001F0160"/>
    <w:rsid w:val="001F1DB9"/>
    <w:rsid w:val="001F203B"/>
    <w:rsid w:val="001F2916"/>
    <w:rsid w:val="001F3103"/>
    <w:rsid w:val="001F3562"/>
    <w:rsid w:val="001F5CE4"/>
    <w:rsid w:val="001F6089"/>
    <w:rsid w:val="001F73CE"/>
    <w:rsid w:val="001F752B"/>
    <w:rsid w:val="001F7EA7"/>
    <w:rsid w:val="0020079A"/>
    <w:rsid w:val="00200A3D"/>
    <w:rsid w:val="00200C3C"/>
    <w:rsid w:val="00201399"/>
    <w:rsid w:val="0020295B"/>
    <w:rsid w:val="00202F43"/>
    <w:rsid w:val="0020357E"/>
    <w:rsid w:val="00204AE8"/>
    <w:rsid w:val="00204B76"/>
    <w:rsid w:val="00204BEB"/>
    <w:rsid w:val="002060B3"/>
    <w:rsid w:val="00207FEC"/>
    <w:rsid w:val="00210B50"/>
    <w:rsid w:val="00211A37"/>
    <w:rsid w:val="00212E79"/>
    <w:rsid w:val="00212F82"/>
    <w:rsid w:val="002141EF"/>
    <w:rsid w:val="002141F2"/>
    <w:rsid w:val="0021429F"/>
    <w:rsid w:val="00214549"/>
    <w:rsid w:val="002146ED"/>
    <w:rsid w:val="00214CA3"/>
    <w:rsid w:val="00216729"/>
    <w:rsid w:val="00217B60"/>
    <w:rsid w:val="00221880"/>
    <w:rsid w:val="00222AE3"/>
    <w:rsid w:val="002249E7"/>
    <w:rsid w:val="00224CAF"/>
    <w:rsid w:val="002251BC"/>
    <w:rsid w:val="00225846"/>
    <w:rsid w:val="00225B7D"/>
    <w:rsid w:val="00225F53"/>
    <w:rsid w:val="00226F9D"/>
    <w:rsid w:val="002275B0"/>
    <w:rsid w:val="00227809"/>
    <w:rsid w:val="00227E37"/>
    <w:rsid w:val="00230750"/>
    <w:rsid w:val="00231CB9"/>
    <w:rsid w:val="00232026"/>
    <w:rsid w:val="0023309C"/>
    <w:rsid w:val="002336B8"/>
    <w:rsid w:val="00236EE4"/>
    <w:rsid w:val="0023770F"/>
    <w:rsid w:val="0023790C"/>
    <w:rsid w:val="00237BBB"/>
    <w:rsid w:val="00237EBE"/>
    <w:rsid w:val="002401F5"/>
    <w:rsid w:val="00241712"/>
    <w:rsid w:val="00241A97"/>
    <w:rsid w:val="00242483"/>
    <w:rsid w:val="002429A9"/>
    <w:rsid w:val="00242B32"/>
    <w:rsid w:val="00244389"/>
    <w:rsid w:val="00244EA9"/>
    <w:rsid w:val="00245D34"/>
    <w:rsid w:val="00246398"/>
    <w:rsid w:val="00246A40"/>
    <w:rsid w:val="0024764A"/>
    <w:rsid w:val="00250BDC"/>
    <w:rsid w:val="00251B41"/>
    <w:rsid w:val="002542FD"/>
    <w:rsid w:val="002543F0"/>
    <w:rsid w:val="00254981"/>
    <w:rsid w:val="00255794"/>
    <w:rsid w:val="00255C8C"/>
    <w:rsid w:val="00255D52"/>
    <w:rsid w:val="00256E14"/>
    <w:rsid w:val="00260336"/>
    <w:rsid w:val="00260852"/>
    <w:rsid w:val="00261941"/>
    <w:rsid w:val="00262304"/>
    <w:rsid w:val="00262577"/>
    <w:rsid w:val="00263347"/>
    <w:rsid w:val="0026365C"/>
    <w:rsid w:val="002655DC"/>
    <w:rsid w:val="00266A2B"/>
    <w:rsid w:val="00267503"/>
    <w:rsid w:val="00267931"/>
    <w:rsid w:val="0027038D"/>
    <w:rsid w:val="002709C1"/>
    <w:rsid w:val="002717FD"/>
    <w:rsid w:val="002719EB"/>
    <w:rsid w:val="00271D7A"/>
    <w:rsid w:val="002722D6"/>
    <w:rsid w:val="00275E3C"/>
    <w:rsid w:val="00275E7D"/>
    <w:rsid w:val="00275F18"/>
    <w:rsid w:val="00276BD3"/>
    <w:rsid w:val="00276E06"/>
    <w:rsid w:val="00277FBA"/>
    <w:rsid w:val="00281C08"/>
    <w:rsid w:val="0028289C"/>
    <w:rsid w:val="00282D6E"/>
    <w:rsid w:val="002831E9"/>
    <w:rsid w:val="00283339"/>
    <w:rsid w:val="0028397F"/>
    <w:rsid w:val="0028528B"/>
    <w:rsid w:val="00285831"/>
    <w:rsid w:val="002858C9"/>
    <w:rsid w:val="002876BC"/>
    <w:rsid w:val="00290798"/>
    <w:rsid w:val="002914AD"/>
    <w:rsid w:val="00291F5A"/>
    <w:rsid w:val="00294CFE"/>
    <w:rsid w:val="00294FEE"/>
    <w:rsid w:val="00296302"/>
    <w:rsid w:val="00296791"/>
    <w:rsid w:val="00297386"/>
    <w:rsid w:val="002A0679"/>
    <w:rsid w:val="002A1F9C"/>
    <w:rsid w:val="002A201B"/>
    <w:rsid w:val="002A2A2E"/>
    <w:rsid w:val="002A35AC"/>
    <w:rsid w:val="002A58C0"/>
    <w:rsid w:val="002A68D5"/>
    <w:rsid w:val="002A6CBD"/>
    <w:rsid w:val="002A79BC"/>
    <w:rsid w:val="002B15B1"/>
    <w:rsid w:val="002B1B18"/>
    <w:rsid w:val="002B2B11"/>
    <w:rsid w:val="002B3ACD"/>
    <w:rsid w:val="002B4378"/>
    <w:rsid w:val="002B5ED3"/>
    <w:rsid w:val="002B5FD1"/>
    <w:rsid w:val="002B60D7"/>
    <w:rsid w:val="002B61FB"/>
    <w:rsid w:val="002B6EB3"/>
    <w:rsid w:val="002C0048"/>
    <w:rsid w:val="002C1374"/>
    <w:rsid w:val="002C13EF"/>
    <w:rsid w:val="002C17E5"/>
    <w:rsid w:val="002C1E7F"/>
    <w:rsid w:val="002C350E"/>
    <w:rsid w:val="002C3C60"/>
    <w:rsid w:val="002C3D44"/>
    <w:rsid w:val="002C3FB7"/>
    <w:rsid w:val="002C4529"/>
    <w:rsid w:val="002C57A9"/>
    <w:rsid w:val="002C5862"/>
    <w:rsid w:val="002C586F"/>
    <w:rsid w:val="002C5967"/>
    <w:rsid w:val="002C6B5B"/>
    <w:rsid w:val="002C7C8E"/>
    <w:rsid w:val="002D15A1"/>
    <w:rsid w:val="002D2063"/>
    <w:rsid w:val="002D20B1"/>
    <w:rsid w:val="002D216D"/>
    <w:rsid w:val="002D22B6"/>
    <w:rsid w:val="002D2C5E"/>
    <w:rsid w:val="002D31C1"/>
    <w:rsid w:val="002D38F5"/>
    <w:rsid w:val="002D5074"/>
    <w:rsid w:val="002D5FD7"/>
    <w:rsid w:val="002D63F6"/>
    <w:rsid w:val="002D76D9"/>
    <w:rsid w:val="002E00FB"/>
    <w:rsid w:val="002E1EB8"/>
    <w:rsid w:val="002E2D3E"/>
    <w:rsid w:val="002E3485"/>
    <w:rsid w:val="002E3E8F"/>
    <w:rsid w:val="002E4C01"/>
    <w:rsid w:val="002E55BE"/>
    <w:rsid w:val="002E55F5"/>
    <w:rsid w:val="002F09FF"/>
    <w:rsid w:val="002F1086"/>
    <w:rsid w:val="002F214B"/>
    <w:rsid w:val="002F2441"/>
    <w:rsid w:val="002F2870"/>
    <w:rsid w:val="002F332F"/>
    <w:rsid w:val="002F33BB"/>
    <w:rsid w:val="002F37F0"/>
    <w:rsid w:val="002F422D"/>
    <w:rsid w:val="002F4283"/>
    <w:rsid w:val="002F46C6"/>
    <w:rsid w:val="002F4859"/>
    <w:rsid w:val="002F60AB"/>
    <w:rsid w:val="002F60F0"/>
    <w:rsid w:val="002F63D6"/>
    <w:rsid w:val="002F6EA9"/>
    <w:rsid w:val="002F7375"/>
    <w:rsid w:val="003012E3"/>
    <w:rsid w:val="00301D41"/>
    <w:rsid w:val="00302310"/>
    <w:rsid w:val="003044AB"/>
    <w:rsid w:val="00310ABE"/>
    <w:rsid w:val="00312077"/>
    <w:rsid w:val="00312671"/>
    <w:rsid w:val="00314D7C"/>
    <w:rsid w:val="00315440"/>
    <w:rsid w:val="003168D9"/>
    <w:rsid w:val="00316A1C"/>
    <w:rsid w:val="00316C1B"/>
    <w:rsid w:val="003171FB"/>
    <w:rsid w:val="00317384"/>
    <w:rsid w:val="0031765E"/>
    <w:rsid w:val="00317716"/>
    <w:rsid w:val="00317D4F"/>
    <w:rsid w:val="00320A49"/>
    <w:rsid w:val="00320C47"/>
    <w:rsid w:val="00320EF6"/>
    <w:rsid w:val="003213CE"/>
    <w:rsid w:val="0032145F"/>
    <w:rsid w:val="003219B8"/>
    <w:rsid w:val="003226E6"/>
    <w:rsid w:val="00322869"/>
    <w:rsid w:val="00323D6E"/>
    <w:rsid w:val="0032479A"/>
    <w:rsid w:val="0032692B"/>
    <w:rsid w:val="003269B3"/>
    <w:rsid w:val="00331039"/>
    <w:rsid w:val="003316E4"/>
    <w:rsid w:val="00331BCE"/>
    <w:rsid w:val="00332136"/>
    <w:rsid w:val="003322B2"/>
    <w:rsid w:val="00333A97"/>
    <w:rsid w:val="003359BA"/>
    <w:rsid w:val="0034157D"/>
    <w:rsid w:val="00342C08"/>
    <w:rsid w:val="00342FE5"/>
    <w:rsid w:val="0034383E"/>
    <w:rsid w:val="003438AF"/>
    <w:rsid w:val="00343CF3"/>
    <w:rsid w:val="00344710"/>
    <w:rsid w:val="003454BC"/>
    <w:rsid w:val="0034623A"/>
    <w:rsid w:val="00346950"/>
    <w:rsid w:val="00346F26"/>
    <w:rsid w:val="00347602"/>
    <w:rsid w:val="00347D25"/>
    <w:rsid w:val="0035007D"/>
    <w:rsid w:val="00350256"/>
    <w:rsid w:val="00352334"/>
    <w:rsid w:val="00352B4F"/>
    <w:rsid w:val="00352D94"/>
    <w:rsid w:val="0035347A"/>
    <w:rsid w:val="003559A5"/>
    <w:rsid w:val="0035718F"/>
    <w:rsid w:val="00357762"/>
    <w:rsid w:val="00357A1F"/>
    <w:rsid w:val="00362357"/>
    <w:rsid w:val="00362646"/>
    <w:rsid w:val="003630AC"/>
    <w:rsid w:val="00363730"/>
    <w:rsid w:val="0036517E"/>
    <w:rsid w:val="00365B6D"/>
    <w:rsid w:val="00366172"/>
    <w:rsid w:val="0036769E"/>
    <w:rsid w:val="003679EB"/>
    <w:rsid w:val="00367ADB"/>
    <w:rsid w:val="00367FEC"/>
    <w:rsid w:val="003732EA"/>
    <w:rsid w:val="003735E4"/>
    <w:rsid w:val="0037399A"/>
    <w:rsid w:val="00373C75"/>
    <w:rsid w:val="0037451F"/>
    <w:rsid w:val="00374E5E"/>
    <w:rsid w:val="003765A3"/>
    <w:rsid w:val="00376793"/>
    <w:rsid w:val="00376FAB"/>
    <w:rsid w:val="00376FDA"/>
    <w:rsid w:val="003775DB"/>
    <w:rsid w:val="0037763C"/>
    <w:rsid w:val="003776B4"/>
    <w:rsid w:val="0037776B"/>
    <w:rsid w:val="00377F67"/>
    <w:rsid w:val="00380A30"/>
    <w:rsid w:val="00381C42"/>
    <w:rsid w:val="00381E9D"/>
    <w:rsid w:val="00382021"/>
    <w:rsid w:val="003843B1"/>
    <w:rsid w:val="00384A4D"/>
    <w:rsid w:val="00384F21"/>
    <w:rsid w:val="00387213"/>
    <w:rsid w:val="00387D20"/>
    <w:rsid w:val="003905CD"/>
    <w:rsid w:val="0039076A"/>
    <w:rsid w:val="003910BA"/>
    <w:rsid w:val="00391CDC"/>
    <w:rsid w:val="00391EDF"/>
    <w:rsid w:val="003928D6"/>
    <w:rsid w:val="0039330B"/>
    <w:rsid w:val="00394BF6"/>
    <w:rsid w:val="003968EA"/>
    <w:rsid w:val="003979AA"/>
    <w:rsid w:val="003A07B3"/>
    <w:rsid w:val="003A0816"/>
    <w:rsid w:val="003A108E"/>
    <w:rsid w:val="003A16FA"/>
    <w:rsid w:val="003A1BC1"/>
    <w:rsid w:val="003A27CD"/>
    <w:rsid w:val="003A30A2"/>
    <w:rsid w:val="003A363C"/>
    <w:rsid w:val="003A4EDD"/>
    <w:rsid w:val="003A514A"/>
    <w:rsid w:val="003A6E6B"/>
    <w:rsid w:val="003A7581"/>
    <w:rsid w:val="003A7A18"/>
    <w:rsid w:val="003A7E61"/>
    <w:rsid w:val="003B1481"/>
    <w:rsid w:val="003B1CAD"/>
    <w:rsid w:val="003B319C"/>
    <w:rsid w:val="003B49C9"/>
    <w:rsid w:val="003B560E"/>
    <w:rsid w:val="003B63D3"/>
    <w:rsid w:val="003B6FBC"/>
    <w:rsid w:val="003B7D8E"/>
    <w:rsid w:val="003C039B"/>
    <w:rsid w:val="003C056F"/>
    <w:rsid w:val="003C1E2E"/>
    <w:rsid w:val="003C22F8"/>
    <w:rsid w:val="003C2A42"/>
    <w:rsid w:val="003C44F0"/>
    <w:rsid w:val="003C6ABB"/>
    <w:rsid w:val="003C7F9A"/>
    <w:rsid w:val="003D0256"/>
    <w:rsid w:val="003D0D4F"/>
    <w:rsid w:val="003D0E76"/>
    <w:rsid w:val="003D1223"/>
    <w:rsid w:val="003D1249"/>
    <w:rsid w:val="003D175F"/>
    <w:rsid w:val="003D3C99"/>
    <w:rsid w:val="003D43C4"/>
    <w:rsid w:val="003D4AD6"/>
    <w:rsid w:val="003D509D"/>
    <w:rsid w:val="003D5573"/>
    <w:rsid w:val="003D6177"/>
    <w:rsid w:val="003E2C38"/>
    <w:rsid w:val="003E49C0"/>
    <w:rsid w:val="003E5997"/>
    <w:rsid w:val="003E6F3F"/>
    <w:rsid w:val="003E712C"/>
    <w:rsid w:val="003E78ED"/>
    <w:rsid w:val="003E7D34"/>
    <w:rsid w:val="003F0EB3"/>
    <w:rsid w:val="003F2694"/>
    <w:rsid w:val="003F3BD2"/>
    <w:rsid w:val="003F3C46"/>
    <w:rsid w:val="003F3E5B"/>
    <w:rsid w:val="003F4371"/>
    <w:rsid w:val="003F4D88"/>
    <w:rsid w:val="003F5BA3"/>
    <w:rsid w:val="003F74C2"/>
    <w:rsid w:val="003F7839"/>
    <w:rsid w:val="003F7E48"/>
    <w:rsid w:val="00401E59"/>
    <w:rsid w:val="00402052"/>
    <w:rsid w:val="00403F8B"/>
    <w:rsid w:val="00405994"/>
    <w:rsid w:val="00405F10"/>
    <w:rsid w:val="004067F5"/>
    <w:rsid w:val="004069ED"/>
    <w:rsid w:val="004072B6"/>
    <w:rsid w:val="0040789F"/>
    <w:rsid w:val="00407AE0"/>
    <w:rsid w:val="00407B11"/>
    <w:rsid w:val="00407B45"/>
    <w:rsid w:val="00410409"/>
    <w:rsid w:val="00410AE6"/>
    <w:rsid w:val="00410D5F"/>
    <w:rsid w:val="00410DAB"/>
    <w:rsid w:val="00411B39"/>
    <w:rsid w:val="00411FB9"/>
    <w:rsid w:val="004130BD"/>
    <w:rsid w:val="004137F2"/>
    <w:rsid w:val="00414256"/>
    <w:rsid w:val="00414333"/>
    <w:rsid w:val="00414E69"/>
    <w:rsid w:val="004153D4"/>
    <w:rsid w:val="00415984"/>
    <w:rsid w:val="004203B0"/>
    <w:rsid w:val="00420F21"/>
    <w:rsid w:val="00420F30"/>
    <w:rsid w:val="004213E8"/>
    <w:rsid w:val="004215F3"/>
    <w:rsid w:val="00422037"/>
    <w:rsid w:val="00422593"/>
    <w:rsid w:val="0042271E"/>
    <w:rsid w:val="0042277E"/>
    <w:rsid w:val="00422CFA"/>
    <w:rsid w:val="004231E5"/>
    <w:rsid w:val="0042371A"/>
    <w:rsid w:val="00424D9A"/>
    <w:rsid w:val="00425970"/>
    <w:rsid w:val="00425FFC"/>
    <w:rsid w:val="00426F57"/>
    <w:rsid w:val="00430303"/>
    <w:rsid w:val="00430447"/>
    <w:rsid w:val="00430528"/>
    <w:rsid w:val="00430F4D"/>
    <w:rsid w:val="004314AA"/>
    <w:rsid w:val="004315C0"/>
    <w:rsid w:val="0043248B"/>
    <w:rsid w:val="004324AD"/>
    <w:rsid w:val="00432679"/>
    <w:rsid w:val="0043288E"/>
    <w:rsid w:val="00433075"/>
    <w:rsid w:val="00433286"/>
    <w:rsid w:val="00433840"/>
    <w:rsid w:val="00434010"/>
    <w:rsid w:val="0043456A"/>
    <w:rsid w:val="00434F96"/>
    <w:rsid w:val="004352BD"/>
    <w:rsid w:val="00435819"/>
    <w:rsid w:val="00435ADB"/>
    <w:rsid w:val="004365D6"/>
    <w:rsid w:val="0043661B"/>
    <w:rsid w:val="00436CAB"/>
    <w:rsid w:val="00440BF0"/>
    <w:rsid w:val="00441C91"/>
    <w:rsid w:val="00444DFA"/>
    <w:rsid w:val="00445C73"/>
    <w:rsid w:val="004474CC"/>
    <w:rsid w:val="00447A7F"/>
    <w:rsid w:val="00447C6A"/>
    <w:rsid w:val="00450670"/>
    <w:rsid w:val="00450E29"/>
    <w:rsid w:val="00451CBF"/>
    <w:rsid w:val="00452D6D"/>
    <w:rsid w:val="00453739"/>
    <w:rsid w:val="0045391A"/>
    <w:rsid w:val="00453D27"/>
    <w:rsid w:val="00456636"/>
    <w:rsid w:val="00456E54"/>
    <w:rsid w:val="00460D2E"/>
    <w:rsid w:val="004612CD"/>
    <w:rsid w:val="00462077"/>
    <w:rsid w:val="00462221"/>
    <w:rsid w:val="00462734"/>
    <w:rsid w:val="00462EE4"/>
    <w:rsid w:val="004631EE"/>
    <w:rsid w:val="00464024"/>
    <w:rsid w:val="004644FD"/>
    <w:rsid w:val="004658E4"/>
    <w:rsid w:val="004659C1"/>
    <w:rsid w:val="00466175"/>
    <w:rsid w:val="00466273"/>
    <w:rsid w:val="00466B8C"/>
    <w:rsid w:val="00466C97"/>
    <w:rsid w:val="00466EA6"/>
    <w:rsid w:val="00472034"/>
    <w:rsid w:val="00472D42"/>
    <w:rsid w:val="00472DCD"/>
    <w:rsid w:val="004735DF"/>
    <w:rsid w:val="00473C85"/>
    <w:rsid w:val="0047428E"/>
    <w:rsid w:val="0047457E"/>
    <w:rsid w:val="004753DB"/>
    <w:rsid w:val="00475423"/>
    <w:rsid w:val="00477A12"/>
    <w:rsid w:val="004805DC"/>
    <w:rsid w:val="00481550"/>
    <w:rsid w:val="00482097"/>
    <w:rsid w:val="00482197"/>
    <w:rsid w:val="004826F7"/>
    <w:rsid w:val="00482F12"/>
    <w:rsid w:val="00484AEB"/>
    <w:rsid w:val="00486088"/>
    <w:rsid w:val="0048695A"/>
    <w:rsid w:val="00486E81"/>
    <w:rsid w:val="00486EF1"/>
    <w:rsid w:val="00487029"/>
    <w:rsid w:val="004904F3"/>
    <w:rsid w:val="004927BE"/>
    <w:rsid w:val="00492BE0"/>
    <w:rsid w:val="00492BE2"/>
    <w:rsid w:val="00493785"/>
    <w:rsid w:val="00494721"/>
    <w:rsid w:val="00494FEE"/>
    <w:rsid w:val="0049526A"/>
    <w:rsid w:val="00495560"/>
    <w:rsid w:val="0049606C"/>
    <w:rsid w:val="00496A2B"/>
    <w:rsid w:val="0049748F"/>
    <w:rsid w:val="00497983"/>
    <w:rsid w:val="004A0559"/>
    <w:rsid w:val="004A0637"/>
    <w:rsid w:val="004A064E"/>
    <w:rsid w:val="004A088C"/>
    <w:rsid w:val="004A1A45"/>
    <w:rsid w:val="004A1AE7"/>
    <w:rsid w:val="004A2698"/>
    <w:rsid w:val="004A2A3B"/>
    <w:rsid w:val="004A3692"/>
    <w:rsid w:val="004A60DD"/>
    <w:rsid w:val="004A61C2"/>
    <w:rsid w:val="004A7AE4"/>
    <w:rsid w:val="004B0C53"/>
    <w:rsid w:val="004B0CEC"/>
    <w:rsid w:val="004B17E1"/>
    <w:rsid w:val="004B1AB7"/>
    <w:rsid w:val="004B205C"/>
    <w:rsid w:val="004B20C9"/>
    <w:rsid w:val="004B2DB2"/>
    <w:rsid w:val="004B5E2E"/>
    <w:rsid w:val="004B6578"/>
    <w:rsid w:val="004C0020"/>
    <w:rsid w:val="004C103F"/>
    <w:rsid w:val="004C130A"/>
    <w:rsid w:val="004C18F5"/>
    <w:rsid w:val="004C1F34"/>
    <w:rsid w:val="004C4077"/>
    <w:rsid w:val="004C416E"/>
    <w:rsid w:val="004C42B6"/>
    <w:rsid w:val="004C4AB9"/>
    <w:rsid w:val="004C4CBA"/>
    <w:rsid w:val="004C5E32"/>
    <w:rsid w:val="004C689D"/>
    <w:rsid w:val="004C7968"/>
    <w:rsid w:val="004D0122"/>
    <w:rsid w:val="004D17B5"/>
    <w:rsid w:val="004D198C"/>
    <w:rsid w:val="004D232E"/>
    <w:rsid w:val="004D34BD"/>
    <w:rsid w:val="004D4C5E"/>
    <w:rsid w:val="004D5BAD"/>
    <w:rsid w:val="004D617A"/>
    <w:rsid w:val="004D61BB"/>
    <w:rsid w:val="004D7784"/>
    <w:rsid w:val="004D7C10"/>
    <w:rsid w:val="004E041C"/>
    <w:rsid w:val="004E04BA"/>
    <w:rsid w:val="004E052F"/>
    <w:rsid w:val="004E140E"/>
    <w:rsid w:val="004E1721"/>
    <w:rsid w:val="004E44D4"/>
    <w:rsid w:val="004E53B0"/>
    <w:rsid w:val="004E5633"/>
    <w:rsid w:val="004E60DC"/>
    <w:rsid w:val="004E72C7"/>
    <w:rsid w:val="004E757B"/>
    <w:rsid w:val="004E7772"/>
    <w:rsid w:val="004F26D2"/>
    <w:rsid w:val="004F2A3D"/>
    <w:rsid w:val="004F36E1"/>
    <w:rsid w:val="004F4E79"/>
    <w:rsid w:val="004F5058"/>
    <w:rsid w:val="004F54DE"/>
    <w:rsid w:val="004F5542"/>
    <w:rsid w:val="004F6182"/>
    <w:rsid w:val="004F62B5"/>
    <w:rsid w:val="004F64EF"/>
    <w:rsid w:val="004F6C52"/>
    <w:rsid w:val="004F79C9"/>
    <w:rsid w:val="00500E6F"/>
    <w:rsid w:val="005013CA"/>
    <w:rsid w:val="00502B0B"/>
    <w:rsid w:val="0050309E"/>
    <w:rsid w:val="00504084"/>
    <w:rsid w:val="00505314"/>
    <w:rsid w:val="00505451"/>
    <w:rsid w:val="00505531"/>
    <w:rsid w:val="005058D1"/>
    <w:rsid w:val="00505E5B"/>
    <w:rsid w:val="00506244"/>
    <w:rsid w:val="005068A0"/>
    <w:rsid w:val="0050798A"/>
    <w:rsid w:val="005079EC"/>
    <w:rsid w:val="00507C82"/>
    <w:rsid w:val="00510BCA"/>
    <w:rsid w:val="00511DC0"/>
    <w:rsid w:val="00512B1A"/>
    <w:rsid w:val="00512C30"/>
    <w:rsid w:val="00514C53"/>
    <w:rsid w:val="00515978"/>
    <w:rsid w:val="00516278"/>
    <w:rsid w:val="005162A2"/>
    <w:rsid w:val="0051632E"/>
    <w:rsid w:val="00516799"/>
    <w:rsid w:val="00517D52"/>
    <w:rsid w:val="00520D98"/>
    <w:rsid w:val="005223D7"/>
    <w:rsid w:val="0052251B"/>
    <w:rsid w:val="00522E5D"/>
    <w:rsid w:val="00522EFA"/>
    <w:rsid w:val="00523013"/>
    <w:rsid w:val="00524079"/>
    <w:rsid w:val="00524233"/>
    <w:rsid w:val="00524EBC"/>
    <w:rsid w:val="0052541B"/>
    <w:rsid w:val="00525796"/>
    <w:rsid w:val="005263F0"/>
    <w:rsid w:val="00526750"/>
    <w:rsid w:val="00526FCD"/>
    <w:rsid w:val="00527204"/>
    <w:rsid w:val="00527527"/>
    <w:rsid w:val="005275C5"/>
    <w:rsid w:val="0052796F"/>
    <w:rsid w:val="00527ACB"/>
    <w:rsid w:val="00530C47"/>
    <w:rsid w:val="00530FBE"/>
    <w:rsid w:val="00531CAB"/>
    <w:rsid w:val="0053346C"/>
    <w:rsid w:val="00533876"/>
    <w:rsid w:val="00534EB8"/>
    <w:rsid w:val="00535E7A"/>
    <w:rsid w:val="005361DE"/>
    <w:rsid w:val="005376E9"/>
    <w:rsid w:val="00537B59"/>
    <w:rsid w:val="00537B6E"/>
    <w:rsid w:val="0054059E"/>
    <w:rsid w:val="00540C78"/>
    <w:rsid w:val="00541524"/>
    <w:rsid w:val="0054230F"/>
    <w:rsid w:val="00543880"/>
    <w:rsid w:val="005441D1"/>
    <w:rsid w:val="005442EB"/>
    <w:rsid w:val="00544BFC"/>
    <w:rsid w:val="0054527C"/>
    <w:rsid w:val="0054610B"/>
    <w:rsid w:val="005461A7"/>
    <w:rsid w:val="00546640"/>
    <w:rsid w:val="00547028"/>
    <w:rsid w:val="005475B7"/>
    <w:rsid w:val="00547C81"/>
    <w:rsid w:val="00547D5B"/>
    <w:rsid w:val="00551005"/>
    <w:rsid w:val="00552930"/>
    <w:rsid w:val="005529D6"/>
    <w:rsid w:val="005544D2"/>
    <w:rsid w:val="00555822"/>
    <w:rsid w:val="0055589E"/>
    <w:rsid w:val="00555C09"/>
    <w:rsid w:val="00557658"/>
    <w:rsid w:val="00557A68"/>
    <w:rsid w:val="00557D10"/>
    <w:rsid w:val="00560AA0"/>
    <w:rsid w:val="00560D11"/>
    <w:rsid w:val="00560D49"/>
    <w:rsid w:val="00561117"/>
    <w:rsid w:val="005629F9"/>
    <w:rsid w:val="00562FB0"/>
    <w:rsid w:val="00564254"/>
    <w:rsid w:val="0056696B"/>
    <w:rsid w:val="005669D3"/>
    <w:rsid w:val="00570714"/>
    <w:rsid w:val="00570A32"/>
    <w:rsid w:val="005717D7"/>
    <w:rsid w:val="00571BF9"/>
    <w:rsid w:val="0057252B"/>
    <w:rsid w:val="005740F2"/>
    <w:rsid w:val="00574791"/>
    <w:rsid w:val="00574E5C"/>
    <w:rsid w:val="00575619"/>
    <w:rsid w:val="00575952"/>
    <w:rsid w:val="00576E90"/>
    <w:rsid w:val="00577230"/>
    <w:rsid w:val="00577DFD"/>
    <w:rsid w:val="00580FED"/>
    <w:rsid w:val="00581600"/>
    <w:rsid w:val="0058248B"/>
    <w:rsid w:val="00583D75"/>
    <w:rsid w:val="0058405E"/>
    <w:rsid w:val="0058472D"/>
    <w:rsid w:val="00584886"/>
    <w:rsid w:val="0058656F"/>
    <w:rsid w:val="005912D9"/>
    <w:rsid w:val="0059153C"/>
    <w:rsid w:val="005915F3"/>
    <w:rsid w:val="0059221F"/>
    <w:rsid w:val="00592A21"/>
    <w:rsid w:val="00594EAA"/>
    <w:rsid w:val="00595D10"/>
    <w:rsid w:val="00595EC8"/>
    <w:rsid w:val="00596975"/>
    <w:rsid w:val="00596BD1"/>
    <w:rsid w:val="0059799E"/>
    <w:rsid w:val="00597C01"/>
    <w:rsid w:val="00597E8A"/>
    <w:rsid w:val="005A0E14"/>
    <w:rsid w:val="005A0F66"/>
    <w:rsid w:val="005A14F2"/>
    <w:rsid w:val="005A1751"/>
    <w:rsid w:val="005A1B98"/>
    <w:rsid w:val="005A1DA3"/>
    <w:rsid w:val="005A2264"/>
    <w:rsid w:val="005A2649"/>
    <w:rsid w:val="005A29E8"/>
    <w:rsid w:val="005A3244"/>
    <w:rsid w:val="005A3692"/>
    <w:rsid w:val="005A50C3"/>
    <w:rsid w:val="005A5863"/>
    <w:rsid w:val="005A5FE9"/>
    <w:rsid w:val="005A6550"/>
    <w:rsid w:val="005A6D62"/>
    <w:rsid w:val="005A783C"/>
    <w:rsid w:val="005A78E8"/>
    <w:rsid w:val="005B00CF"/>
    <w:rsid w:val="005B0D39"/>
    <w:rsid w:val="005B18DE"/>
    <w:rsid w:val="005B1CCD"/>
    <w:rsid w:val="005B3657"/>
    <w:rsid w:val="005B4A77"/>
    <w:rsid w:val="005B4DD4"/>
    <w:rsid w:val="005B4F7D"/>
    <w:rsid w:val="005B6D7D"/>
    <w:rsid w:val="005C069D"/>
    <w:rsid w:val="005C084E"/>
    <w:rsid w:val="005C1A32"/>
    <w:rsid w:val="005C1C28"/>
    <w:rsid w:val="005C262D"/>
    <w:rsid w:val="005C263D"/>
    <w:rsid w:val="005C3759"/>
    <w:rsid w:val="005C3945"/>
    <w:rsid w:val="005C4C32"/>
    <w:rsid w:val="005C505C"/>
    <w:rsid w:val="005C79FC"/>
    <w:rsid w:val="005D0F32"/>
    <w:rsid w:val="005D1D68"/>
    <w:rsid w:val="005D207A"/>
    <w:rsid w:val="005D3A48"/>
    <w:rsid w:val="005D3E53"/>
    <w:rsid w:val="005D47BC"/>
    <w:rsid w:val="005D5CE8"/>
    <w:rsid w:val="005D60F7"/>
    <w:rsid w:val="005D70A6"/>
    <w:rsid w:val="005D73F4"/>
    <w:rsid w:val="005E25E1"/>
    <w:rsid w:val="005E4161"/>
    <w:rsid w:val="005E52F7"/>
    <w:rsid w:val="005E6842"/>
    <w:rsid w:val="005E68EB"/>
    <w:rsid w:val="005F0CA5"/>
    <w:rsid w:val="005F14A8"/>
    <w:rsid w:val="005F1A8A"/>
    <w:rsid w:val="005F23A3"/>
    <w:rsid w:val="005F23FF"/>
    <w:rsid w:val="005F2AC5"/>
    <w:rsid w:val="005F315A"/>
    <w:rsid w:val="005F47A8"/>
    <w:rsid w:val="005F5127"/>
    <w:rsid w:val="005F5A03"/>
    <w:rsid w:val="005F69A1"/>
    <w:rsid w:val="005F75F4"/>
    <w:rsid w:val="00600492"/>
    <w:rsid w:val="00600BF7"/>
    <w:rsid w:val="00601E84"/>
    <w:rsid w:val="006032C1"/>
    <w:rsid w:val="00603444"/>
    <w:rsid w:val="00605210"/>
    <w:rsid w:val="00605832"/>
    <w:rsid w:val="00607F9F"/>
    <w:rsid w:val="0061492C"/>
    <w:rsid w:val="00614AFB"/>
    <w:rsid w:val="00616A79"/>
    <w:rsid w:val="00616D0A"/>
    <w:rsid w:val="006205A4"/>
    <w:rsid w:val="00621458"/>
    <w:rsid w:val="00621ECA"/>
    <w:rsid w:val="0062355B"/>
    <w:rsid w:val="00626296"/>
    <w:rsid w:val="0062679F"/>
    <w:rsid w:val="00626CFB"/>
    <w:rsid w:val="00630176"/>
    <w:rsid w:val="00630DB7"/>
    <w:rsid w:val="006329A4"/>
    <w:rsid w:val="00632D65"/>
    <w:rsid w:val="0063411B"/>
    <w:rsid w:val="00634439"/>
    <w:rsid w:val="00635A23"/>
    <w:rsid w:val="00636258"/>
    <w:rsid w:val="0063630F"/>
    <w:rsid w:val="00636965"/>
    <w:rsid w:val="006372C4"/>
    <w:rsid w:val="006379C0"/>
    <w:rsid w:val="00641755"/>
    <w:rsid w:val="006429C6"/>
    <w:rsid w:val="00642AC8"/>
    <w:rsid w:val="006438F2"/>
    <w:rsid w:val="00644B8E"/>
    <w:rsid w:val="00645210"/>
    <w:rsid w:val="00645E46"/>
    <w:rsid w:val="0064622E"/>
    <w:rsid w:val="006509D7"/>
    <w:rsid w:val="00651AD6"/>
    <w:rsid w:val="006522DF"/>
    <w:rsid w:val="00652BD9"/>
    <w:rsid w:val="00652D3B"/>
    <w:rsid w:val="00653169"/>
    <w:rsid w:val="00653493"/>
    <w:rsid w:val="0065423F"/>
    <w:rsid w:val="00655112"/>
    <w:rsid w:val="00655B75"/>
    <w:rsid w:val="006564F3"/>
    <w:rsid w:val="00656770"/>
    <w:rsid w:val="006574B9"/>
    <w:rsid w:val="006607FC"/>
    <w:rsid w:val="00661249"/>
    <w:rsid w:val="006612F1"/>
    <w:rsid w:val="00661DCF"/>
    <w:rsid w:val="0066275A"/>
    <w:rsid w:val="00662BB0"/>
    <w:rsid w:val="0066307A"/>
    <w:rsid w:val="0066364C"/>
    <w:rsid w:val="006644F6"/>
    <w:rsid w:val="006646C2"/>
    <w:rsid w:val="006656D0"/>
    <w:rsid w:val="00666AD3"/>
    <w:rsid w:val="00666C6B"/>
    <w:rsid w:val="00667FE5"/>
    <w:rsid w:val="00670740"/>
    <w:rsid w:val="00670AEB"/>
    <w:rsid w:val="00671D93"/>
    <w:rsid w:val="006722BB"/>
    <w:rsid w:val="006725D2"/>
    <w:rsid w:val="00672A02"/>
    <w:rsid w:val="00672FE1"/>
    <w:rsid w:val="006800A8"/>
    <w:rsid w:val="006802B5"/>
    <w:rsid w:val="00681E18"/>
    <w:rsid w:val="00681F52"/>
    <w:rsid w:val="00683222"/>
    <w:rsid w:val="006835AA"/>
    <w:rsid w:val="00683AC0"/>
    <w:rsid w:val="00685ED1"/>
    <w:rsid w:val="00685F7E"/>
    <w:rsid w:val="00686732"/>
    <w:rsid w:val="006867F6"/>
    <w:rsid w:val="00686CD1"/>
    <w:rsid w:val="0069129F"/>
    <w:rsid w:val="00691D4D"/>
    <w:rsid w:val="00692009"/>
    <w:rsid w:val="006924EB"/>
    <w:rsid w:val="00693DCB"/>
    <w:rsid w:val="00694994"/>
    <w:rsid w:val="00694CD2"/>
    <w:rsid w:val="006956BA"/>
    <w:rsid w:val="006957F9"/>
    <w:rsid w:val="00695C26"/>
    <w:rsid w:val="006962B0"/>
    <w:rsid w:val="00697175"/>
    <w:rsid w:val="00697F20"/>
    <w:rsid w:val="006A139C"/>
    <w:rsid w:val="006A16E4"/>
    <w:rsid w:val="006A3490"/>
    <w:rsid w:val="006A3E6D"/>
    <w:rsid w:val="006A48F3"/>
    <w:rsid w:val="006A6068"/>
    <w:rsid w:val="006A744F"/>
    <w:rsid w:val="006B0647"/>
    <w:rsid w:val="006B0658"/>
    <w:rsid w:val="006B0B99"/>
    <w:rsid w:val="006B1530"/>
    <w:rsid w:val="006B1BC5"/>
    <w:rsid w:val="006B1EDA"/>
    <w:rsid w:val="006B29D4"/>
    <w:rsid w:val="006B2DB3"/>
    <w:rsid w:val="006B305E"/>
    <w:rsid w:val="006B30B4"/>
    <w:rsid w:val="006B31CA"/>
    <w:rsid w:val="006B3950"/>
    <w:rsid w:val="006B4E85"/>
    <w:rsid w:val="006B511E"/>
    <w:rsid w:val="006B5D85"/>
    <w:rsid w:val="006B663F"/>
    <w:rsid w:val="006B666F"/>
    <w:rsid w:val="006B76A2"/>
    <w:rsid w:val="006B7854"/>
    <w:rsid w:val="006B7872"/>
    <w:rsid w:val="006C07E3"/>
    <w:rsid w:val="006C16BC"/>
    <w:rsid w:val="006C2BA2"/>
    <w:rsid w:val="006C4434"/>
    <w:rsid w:val="006C4631"/>
    <w:rsid w:val="006C53AB"/>
    <w:rsid w:val="006C555F"/>
    <w:rsid w:val="006C5758"/>
    <w:rsid w:val="006C5B20"/>
    <w:rsid w:val="006C5D31"/>
    <w:rsid w:val="006C705D"/>
    <w:rsid w:val="006C7320"/>
    <w:rsid w:val="006C7A24"/>
    <w:rsid w:val="006D050C"/>
    <w:rsid w:val="006D09AB"/>
    <w:rsid w:val="006D0CB0"/>
    <w:rsid w:val="006D10F6"/>
    <w:rsid w:val="006D1915"/>
    <w:rsid w:val="006D1CA7"/>
    <w:rsid w:val="006D2B49"/>
    <w:rsid w:val="006D5103"/>
    <w:rsid w:val="006D541B"/>
    <w:rsid w:val="006D7554"/>
    <w:rsid w:val="006D7EC6"/>
    <w:rsid w:val="006E07EC"/>
    <w:rsid w:val="006E13CF"/>
    <w:rsid w:val="006E1A4E"/>
    <w:rsid w:val="006E1BF6"/>
    <w:rsid w:val="006E1DEF"/>
    <w:rsid w:val="006E1E29"/>
    <w:rsid w:val="006E208B"/>
    <w:rsid w:val="006E26D1"/>
    <w:rsid w:val="006E26E7"/>
    <w:rsid w:val="006E3C1D"/>
    <w:rsid w:val="006E42A4"/>
    <w:rsid w:val="006E4529"/>
    <w:rsid w:val="006E59D5"/>
    <w:rsid w:val="006E5BB6"/>
    <w:rsid w:val="006E631D"/>
    <w:rsid w:val="006E64F0"/>
    <w:rsid w:val="006E6FD6"/>
    <w:rsid w:val="006E7390"/>
    <w:rsid w:val="006E7C67"/>
    <w:rsid w:val="006F0252"/>
    <w:rsid w:val="006F13CB"/>
    <w:rsid w:val="006F1BDC"/>
    <w:rsid w:val="006F2397"/>
    <w:rsid w:val="006F4FC4"/>
    <w:rsid w:val="006F52F0"/>
    <w:rsid w:val="006F5B8D"/>
    <w:rsid w:val="006F5C4A"/>
    <w:rsid w:val="006F7B85"/>
    <w:rsid w:val="006F7BC4"/>
    <w:rsid w:val="00700875"/>
    <w:rsid w:val="00700D74"/>
    <w:rsid w:val="007018D4"/>
    <w:rsid w:val="00701DA0"/>
    <w:rsid w:val="007038EF"/>
    <w:rsid w:val="00704A84"/>
    <w:rsid w:val="007051BF"/>
    <w:rsid w:val="0070533C"/>
    <w:rsid w:val="00705A27"/>
    <w:rsid w:val="007064EA"/>
    <w:rsid w:val="00707193"/>
    <w:rsid w:val="0070749A"/>
    <w:rsid w:val="00707993"/>
    <w:rsid w:val="00711986"/>
    <w:rsid w:val="00713633"/>
    <w:rsid w:val="00715416"/>
    <w:rsid w:val="00716AF6"/>
    <w:rsid w:val="00716C06"/>
    <w:rsid w:val="00716D26"/>
    <w:rsid w:val="00716D56"/>
    <w:rsid w:val="00716FAC"/>
    <w:rsid w:val="00717380"/>
    <w:rsid w:val="00721008"/>
    <w:rsid w:val="00721C8D"/>
    <w:rsid w:val="007221F7"/>
    <w:rsid w:val="007224F5"/>
    <w:rsid w:val="00722EA2"/>
    <w:rsid w:val="00723BBC"/>
    <w:rsid w:val="0072401F"/>
    <w:rsid w:val="00724677"/>
    <w:rsid w:val="00725042"/>
    <w:rsid w:val="0072519D"/>
    <w:rsid w:val="0072637B"/>
    <w:rsid w:val="00726538"/>
    <w:rsid w:val="0072704D"/>
    <w:rsid w:val="007270B5"/>
    <w:rsid w:val="0072710F"/>
    <w:rsid w:val="007275FE"/>
    <w:rsid w:val="00730300"/>
    <w:rsid w:val="00730419"/>
    <w:rsid w:val="00731253"/>
    <w:rsid w:val="00731C64"/>
    <w:rsid w:val="00734870"/>
    <w:rsid w:val="00734A70"/>
    <w:rsid w:val="00735051"/>
    <w:rsid w:val="0073626A"/>
    <w:rsid w:val="007362F8"/>
    <w:rsid w:val="00740854"/>
    <w:rsid w:val="00742807"/>
    <w:rsid w:val="0074335C"/>
    <w:rsid w:val="00743B38"/>
    <w:rsid w:val="007452D6"/>
    <w:rsid w:val="0074668D"/>
    <w:rsid w:val="00750CE1"/>
    <w:rsid w:val="00751D19"/>
    <w:rsid w:val="007524AB"/>
    <w:rsid w:val="007555FB"/>
    <w:rsid w:val="00755C3C"/>
    <w:rsid w:val="007602CA"/>
    <w:rsid w:val="0076078F"/>
    <w:rsid w:val="00763248"/>
    <w:rsid w:val="00763642"/>
    <w:rsid w:val="007642CB"/>
    <w:rsid w:val="00764982"/>
    <w:rsid w:val="007659F9"/>
    <w:rsid w:val="00766292"/>
    <w:rsid w:val="00767046"/>
    <w:rsid w:val="00767731"/>
    <w:rsid w:val="0077192C"/>
    <w:rsid w:val="00771BC9"/>
    <w:rsid w:val="00771D2E"/>
    <w:rsid w:val="00772645"/>
    <w:rsid w:val="007750C7"/>
    <w:rsid w:val="007751D6"/>
    <w:rsid w:val="00775869"/>
    <w:rsid w:val="00776169"/>
    <w:rsid w:val="00776747"/>
    <w:rsid w:val="00776D81"/>
    <w:rsid w:val="00776EB4"/>
    <w:rsid w:val="00777481"/>
    <w:rsid w:val="00780029"/>
    <w:rsid w:val="007815F9"/>
    <w:rsid w:val="00783EC3"/>
    <w:rsid w:val="00784E46"/>
    <w:rsid w:val="0078511F"/>
    <w:rsid w:val="00786A87"/>
    <w:rsid w:val="00786ABB"/>
    <w:rsid w:val="00790ADA"/>
    <w:rsid w:val="00790BEB"/>
    <w:rsid w:val="00791374"/>
    <w:rsid w:val="007921CB"/>
    <w:rsid w:val="00792C42"/>
    <w:rsid w:val="007940CB"/>
    <w:rsid w:val="00794AA2"/>
    <w:rsid w:val="00795CF3"/>
    <w:rsid w:val="00796FED"/>
    <w:rsid w:val="0079746F"/>
    <w:rsid w:val="007978F4"/>
    <w:rsid w:val="007A0975"/>
    <w:rsid w:val="007A231D"/>
    <w:rsid w:val="007A25CB"/>
    <w:rsid w:val="007A271A"/>
    <w:rsid w:val="007A2EB6"/>
    <w:rsid w:val="007A30AC"/>
    <w:rsid w:val="007A3529"/>
    <w:rsid w:val="007A3799"/>
    <w:rsid w:val="007A3D64"/>
    <w:rsid w:val="007A3E5C"/>
    <w:rsid w:val="007A43A7"/>
    <w:rsid w:val="007A46AE"/>
    <w:rsid w:val="007A46E1"/>
    <w:rsid w:val="007A495A"/>
    <w:rsid w:val="007A4EEA"/>
    <w:rsid w:val="007A54C1"/>
    <w:rsid w:val="007A557A"/>
    <w:rsid w:val="007A64C0"/>
    <w:rsid w:val="007A67A9"/>
    <w:rsid w:val="007A7031"/>
    <w:rsid w:val="007B0DAC"/>
    <w:rsid w:val="007B1234"/>
    <w:rsid w:val="007B17F8"/>
    <w:rsid w:val="007B28BD"/>
    <w:rsid w:val="007B3897"/>
    <w:rsid w:val="007B5E23"/>
    <w:rsid w:val="007B7B32"/>
    <w:rsid w:val="007C007E"/>
    <w:rsid w:val="007C0262"/>
    <w:rsid w:val="007C06D5"/>
    <w:rsid w:val="007C0E59"/>
    <w:rsid w:val="007C16C9"/>
    <w:rsid w:val="007C259E"/>
    <w:rsid w:val="007C33F4"/>
    <w:rsid w:val="007C3DF2"/>
    <w:rsid w:val="007C47AC"/>
    <w:rsid w:val="007C49DB"/>
    <w:rsid w:val="007C539D"/>
    <w:rsid w:val="007C5A7D"/>
    <w:rsid w:val="007C68DA"/>
    <w:rsid w:val="007C7F2F"/>
    <w:rsid w:val="007D0373"/>
    <w:rsid w:val="007D120E"/>
    <w:rsid w:val="007D141A"/>
    <w:rsid w:val="007D283A"/>
    <w:rsid w:val="007D33EE"/>
    <w:rsid w:val="007D3994"/>
    <w:rsid w:val="007D3AD7"/>
    <w:rsid w:val="007D440D"/>
    <w:rsid w:val="007D493C"/>
    <w:rsid w:val="007D5AE9"/>
    <w:rsid w:val="007D610F"/>
    <w:rsid w:val="007D6BD8"/>
    <w:rsid w:val="007D7CA0"/>
    <w:rsid w:val="007E0053"/>
    <w:rsid w:val="007E03C5"/>
    <w:rsid w:val="007E0F04"/>
    <w:rsid w:val="007E0F84"/>
    <w:rsid w:val="007E2BB7"/>
    <w:rsid w:val="007E2E2E"/>
    <w:rsid w:val="007E51AE"/>
    <w:rsid w:val="007E5926"/>
    <w:rsid w:val="007E6594"/>
    <w:rsid w:val="007E6917"/>
    <w:rsid w:val="007E7BC8"/>
    <w:rsid w:val="007E7C18"/>
    <w:rsid w:val="007F030C"/>
    <w:rsid w:val="007F0CCA"/>
    <w:rsid w:val="007F1048"/>
    <w:rsid w:val="007F1688"/>
    <w:rsid w:val="007F1BBA"/>
    <w:rsid w:val="007F23DF"/>
    <w:rsid w:val="007F35E8"/>
    <w:rsid w:val="007F366B"/>
    <w:rsid w:val="007F3DBB"/>
    <w:rsid w:val="007F3F99"/>
    <w:rsid w:val="007F3FBD"/>
    <w:rsid w:val="007F43AE"/>
    <w:rsid w:val="007F474F"/>
    <w:rsid w:val="007F4C75"/>
    <w:rsid w:val="007F6025"/>
    <w:rsid w:val="007F6101"/>
    <w:rsid w:val="007F677C"/>
    <w:rsid w:val="007F6BC8"/>
    <w:rsid w:val="007F71EE"/>
    <w:rsid w:val="008000DF"/>
    <w:rsid w:val="00800C5A"/>
    <w:rsid w:val="00801BED"/>
    <w:rsid w:val="00802890"/>
    <w:rsid w:val="00803385"/>
    <w:rsid w:val="008038B1"/>
    <w:rsid w:val="00804C61"/>
    <w:rsid w:val="00805530"/>
    <w:rsid w:val="00806DA3"/>
    <w:rsid w:val="00807789"/>
    <w:rsid w:val="00810881"/>
    <w:rsid w:val="0081095C"/>
    <w:rsid w:val="00810E2F"/>
    <w:rsid w:val="00812F2B"/>
    <w:rsid w:val="00813510"/>
    <w:rsid w:val="0081410C"/>
    <w:rsid w:val="00814A41"/>
    <w:rsid w:val="00814B95"/>
    <w:rsid w:val="008157A9"/>
    <w:rsid w:val="008163D2"/>
    <w:rsid w:val="008164D9"/>
    <w:rsid w:val="008166A3"/>
    <w:rsid w:val="00816E8C"/>
    <w:rsid w:val="00820609"/>
    <w:rsid w:val="008206A8"/>
    <w:rsid w:val="008206EF"/>
    <w:rsid w:val="00820EDD"/>
    <w:rsid w:val="00821093"/>
    <w:rsid w:val="008217BE"/>
    <w:rsid w:val="00821975"/>
    <w:rsid w:val="00822499"/>
    <w:rsid w:val="00822CA0"/>
    <w:rsid w:val="0082384F"/>
    <w:rsid w:val="008238DF"/>
    <w:rsid w:val="00823B1B"/>
    <w:rsid w:val="00825511"/>
    <w:rsid w:val="0082560B"/>
    <w:rsid w:val="008276CC"/>
    <w:rsid w:val="0083073F"/>
    <w:rsid w:val="00830875"/>
    <w:rsid w:val="00831A81"/>
    <w:rsid w:val="00832856"/>
    <w:rsid w:val="00833F0D"/>
    <w:rsid w:val="00837B2A"/>
    <w:rsid w:val="00837DF1"/>
    <w:rsid w:val="00837F34"/>
    <w:rsid w:val="00840781"/>
    <w:rsid w:val="00840D64"/>
    <w:rsid w:val="0084138B"/>
    <w:rsid w:val="008434B7"/>
    <w:rsid w:val="00843DC0"/>
    <w:rsid w:val="00843E6F"/>
    <w:rsid w:val="008449EC"/>
    <w:rsid w:val="00844FFD"/>
    <w:rsid w:val="00845B4A"/>
    <w:rsid w:val="00846B8E"/>
    <w:rsid w:val="00847803"/>
    <w:rsid w:val="008510DC"/>
    <w:rsid w:val="00851295"/>
    <w:rsid w:val="008513B3"/>
    <w:rsid w:val="00851460"/>
    <w:rsid w:val="008518C5"/>
    <w:rsid w:val="00851A69"/>
    <w:rsid w:val="008523D7"/>
    <w:rsid w:val="00853C6F"/>
    <w:rsid w:val="00853D82"/>
    <w:rsid w:val="0085488C"/>
    <w:rsid w:val="0085519F"/>
    <w:rsid w:val="008559E3"/>
    <w:rsid w:val="00855B88"/>
    <w:rsid w:val="0085628F"/>
    <w:rsid w:val="00856563"/>
    <w:rsid w:val="008567F5"/>
    <w:rsid w:val="00857026"/>
    <w:rsid w:val="00857765"/>
    <w:rsid w:val="00857DF8"/>
    <w:rsid w:val="00857E1C"/>
    <w:rsid w:val="00857FAD"/>
    <w:rsid w:val="00861334"/>
    <w:rsid w:val="00863061"/>
    <w:rsid w:val="008634C6"/>
    <w:rsid w:val="00863A96"/>
    <w:rsid w:val="00864A97"/>
    <w:rsid w:val="00865134"/>
    <w:rsid w:val="00865296"/>
    <w:rsid w:val="00865580"/>
    <w:rsid w:val="008669D3"/>
    <w:rsid w:val="00866DB9"/>
    <w:rsid w:val="0086752A"/>
    <w:rsid w:val="0086788B"/>
    <w:rsid w:val="00870991"/>
    <w:rsid w:val="008725D6"/>
    <w:rsid w:val="008726CE"/>
    <w:rsid w:val="00872857"/>
    <w:rsid w:val="0087347C"/>
    <w:rsid w:val="00874DC2"/>
    <w:rsid w:val="00876258"/>
    <w:rsid w:val="00876F97"/>
    <w:rsid w:val="008810A0"/>
    <w:rsid w:val="008810CC"/>
    <w:rsid w:val="0088184A"/>
    <w:rsid w:val="008821BA"/>
    <w:rsid w:val="00882299"/>
    <w:rsid w:val="008822D1"/>
    <w:rsid w:val="008838D0"/>
    <w:rsid w:val="00884271"/>
    <w:rsid w:val="00885211"/>
    <w:rsid w:val="00885808"/>
    <w:rsid w:val="008859D3"/>
    <w:rsid w:val="00885FB0"/>
    <w:rsid w:val="00887525"/>
    <w:rsid w:val="00892950"/>
    <w:rsid w:val="00892ABD"/>
    <w:rsid w:val="00895576"/>
    <w:rsid w:val="008960D5"/>
    <w:rsid w:val="00896C2F"/>
    <w:rsid w:val="00897136"/>
    <w:rsid w:val="008A1518"/>
    <w:rsid w:val="008A1E19"/>
    <w:rsid w:val="008A2C89"/>
    <w:rsid w:val="008A2E60"/>
    <w:rsid w:val="008A3CB2"/>
    <w:rsid w:val="008A42F4"/>
    <w:rsid w:val="008A4D1E"/>
    <w:rsid w:val="008A6A75"/>
    <w:rsid w:val="008A6F81"/>
    <w:rsid w:val="008A7275"/>
    <w:rsid w:val="008A7732"/>
    <w:rsid w:val="008A7EB7"/>
    <w:rsid w:val="008B02B9"/>
    <w:rsid w:val="008B0B10"/>
    <w:rsid w:val="008B0F36"/>
    <w:rsid w:val="008B25C9"/>
    <w:rsid w:val="008B41FF"/>
    <w:rsid w:val="008B46FE"/>
    <w:rsid w:val="008B47FA"/>
    <w:rsid w:val="008B5B65"/>
    <w:rsid w:val="008B62A8"/>
    <w:rsid w:val="008B6921"/>
    <w:rsid w:val="008B6E41"/>
    <w:rsid w:val="008B6E98"/>
    <w:rsid w:val="008C0267"/>
    <w:rsid w:val="008C0BAD"/>
    <w:rsid w:val="008C10D6"/>
    <w:rsid w:val="008C1325"/>
    <w:rsid w:val="008C1C77"/>
    <w:rsid w:val="008C2996"/>
    <w:rsid w:val="008C2C83"/>
    <w:rsid w:val="008C34FE"/>
    <w:rsid w:val="008C3692"/>
    <w:rsid w:val="008C3983"/>
    <w:rsid w:val="008C3F9B"/>
    <w:rsid w:val="008C400B"/>
    <w:rsid w:val="008C5371"/>
    <w:rsid w:val="008C5521"/>
    <w:rsid w:val="008C5F38"/>
    <w:rsid w:val="008C678C"/>
    <w:rsid w:val="008D0798"/>
    <w:rsid w:val="008D0A11"/>
    <w:rsid w:val="008D0D2F"/>
    <w:rsid w:val="008D15DF"/>
    <w:rsid w:val="008D16B1"/>
    <w:rsid w:val="008D2BA8"/>
    <w:rsid w:val="008D333F"/>
    <w:rsid w:val="008D430C"/>
    <w:rsid w:val="008D4E7E"/>
    <w:rsid w:val="008D4FE7"/>
    <w:rsid w:val="008D674C"/>
    <w:rsid w:val="008D693B"/>
    <w:rsid w:val="008D7182"/>
    <w:rsid w:val="008D7286"/>
    <w:rsid w:val="008E0ED6"/>
    <w:rsid w:val="008E146C"/>
    <w:rsid w:val="008E1F1F"/>
    <w:rsid w:val="008E23BF"/>
    <w:rsid w:val="008E2DE5"/>
    <w:rsid w:val="008E2E63"/>
    <w:rsid w:val="008E338D"/>
    <w:rsid w:val="008E43DB"/>
    <w:rsid w:val="008E4510"/>
    <w:rsid w:val="008E4645"/>
    <w:rsid w:val="008E4BB0"/>
    <w:rsid w:val="008E5DF4"/>
    <w:rsid w:val="008E62BD"/>
    <w:rsid w:val="008E6EB5"/>
    <w:rsid w:val="008E6F93"/>
    <w:rsid w:val="008E72AA"/>
    <w:rsid w:val="008E7C44"/>
    <w:rsid w:val="008F0119"/>
    <w:rsid w:val="008F1871"/>
    <w:rsid w:val="008F1D07"/>
    <w:rsid w:val="008F3084"/>
    <w:rsid w:val="00900E4A"/>
    <w:rsid w:val="00901B0D"/>
    <w:rsid w:val="00901B4D"/>
    <w:rsid w:val="00903A20"/>
    <w:rsid w:val="009046E4"/>
    <w:rsid w:val="0090528B"/>
    <w:rsid w:val="009059DB"/>
    <w:rsid w:val="00906062"/>
    <w:rsid w:val="00906155"/>
    <w:rsid w:val="009068F8"/>
    <w:rsid w:val="00910849"/>
    <w:rsid w:val="00910D01"/>
    <w:rsid w:val="00914309"/>
    <w:rsid w:val="009143ED"/>
    <w:rsid w:val="00914DBE"/>
    <w:rsid w:val="009159E3"/>
    <w:rsid w:val="00915F5A"/>
    <w:rsid w:val="009160F9"/>
    <w:rsid w:val="00916D6A"/>
    <w:rsid w:val="00917052"/>
    <w:rsid w:val="0091723E"/>
    <w:rsid w:val="00917645"/>
    <w:rsid w:val="009177F2"/>
    <w:rsid w:val="009202D0"/>
    <w:rsid w:val="00921568"/>
    <w:rsid w:val="00921851"/>
    <w:rsid w:val="009221AF"/>
    <w:rsid w:val="00923B80"/>
    <w:rsid w:val="00924A6E"/>
    <w:rsid w:val="00924AF7"/>
    <w:rsid w:val="0092549D"/>
    <w:rsid w:val="00925784"/>
    <w:rsid w:val="00926495"/>
    <w:rsid w:val="009267B9"/>
    <w:rsid w:val="00926A52"/>
    <w:rsid w:val="00926C49"/>
    <w:rsid w:val="0092799F"/>
    <w:rsid w:val="009305D4"/>
    <w:rsid w:val="00930765"/>
    <w:rsid w:val="00934117"/>
    <w:rsid w:val="00934914"/>
    <w:rsid w:val="00934D25"/>
    <w:rsid w:val="00935611"/>
    <w:rsid w:val="009375EB"/>
    <w:rsid w:val="009407EA"/>
    <w:rsid w:val="009410EE"/>
    <w:rsid w:val="00941213"/>
    <w:rsid w:val="00941DBF"/>
    <w:rsid w:val="00944AD0"/>
    <w:rsid w:val="00945074"/>
    <w:rsid w:val="00945698"/>
    <w:rsid w:val="00945722"/>
    <w:rsid w:val="00945900"/>
    <w:rsid w:val="00945C44"/>
    <w:rsid w:val="00946A70"/>
    <w:rsid w:val="00947AA4"/>
    <w:rsid w:val="00947D92"/>
    <w:rsid w:val="009508DE"/>
    <w:rsid w:val="00950C31"/>
    <w:rsid w:val="00951CB9"/>
    <w:rsid w:val="00952101"/>
    <w:rsid w:val="00952C5F"/>
    <w:rsid w:val="0095331B"/>
    <w:rsid w:val="00953912"/>
    <w:rsid w:val="00953E81"/>
    <w:rsid w:val="00954740"/>
    <w:rsid w:val="00954E92"/>
    <w:rsid w:val="00955CA7"/>
    <w:rsid w:val="00956009"/>
    <w:rsid w:val="0095747C"/>
    <w:rsid w:val="009575B8"/>
    <w:rsid w:val="00957918"/>
    <w:rsid w:val="009603E8"/>
    <w:rsid w:val="00960857"/>
    <w:rsid w:val="00960A95"/>
    <w:rsid w:val="00960B1C"/>
    <w:rsid w:val="009610B1"/>
    <w:rsid w:val="00961ED8"/>
    <w:rsid w:val="00962004"/>
    <w:rsid w:val="0096282B"/>
    <w:rsid w:val="00962969"/>
    <w:rsid w:val="00962DFE"/>
    <w:rsid w:val="00963EFC"/>
    <w:rsid w:val="009649C1"/>
    <w:rsid w:val="00964DEA"/>
    <w:rsid w:val="00965D0C"/>
    <w:rsid w:val="00966853"/>
    <w:rsid w:val="00966E25"/>
    <w:rsid w:val="0096729A"/>
    <w:rsid w:val="00967C4D"/>
    <w:rsid w:val="00970D85"/>
    <w:rsid w:val="0097196D"/>
    <w:rsid w:val="00972025"/>
    <w:rsid w:val="0097243E"/>
    <w:rsid w:val="00972B3A"/>
    <w:rsid w:val="0097349F"/>
    <w:rsid w:val="00975725"/>
    <w:rsid w:val="00976471"/>
    <w:rsid w:val="00977D51"/>
    <w:rsid w:val="009805A8"/>
    <w:rsid w:val="00980E38"/>
    <w:rsid w:val="00981008"/>
    <w:rsid w:val="0098120D"/>
    <w:rsid w:val="0098130C"/>
    <w:rsid w:val="00981347"/>
    <w:rsid w:val="009822BB"/>
    <w:rsid w:val="0098276C"/>
    <w:rsid w:val="00982F06"/>
    <w:rsid w:val="0098305C"/>
    <w:rsid w:val="0098489E"/>
    <w:rsid w:val="00984C9E"/>
    <w:rsid w:val="00985503"/>
    <w:rsid w:val="00985583"/>
    <w:rsid w:val="00985B0F"/>
    <w:rsid w:val="00986D1E"/>
    <w:rsid w:val="009875AC"/>
    <w:rsid w:val="009876A0"/>
    <w:rsid w:val="00987742"/>
    <w:rsid w:val="009904B4"/>
    <w:rsid w:val="00990E42"/>
    <w:rsid w:val="00991799"/>
    <w:rsid w:val="009921A1"/>
    <w:rsid w:val="009936A5"/>
    <w:rsid w:val="00993703"/>
    <w:rsid w:val="00993943"/>
    <w:rsid w:val="00993B8F"/>
    <w:rsid w:val="00994994"/>
    <w:rsid w:val="00994B32"/>
    <w:rsid w:val="009950ED"/>
    <w:rsid w:val="009951E9"/>
    <w:rsid w:val="0099523F"/>
    <w:rsid w:val="009A05EA"/>
    <w:rsid w:val="009A067E"/>
    <w:rsid w:val="009A08BB"/>
    <w:rsid w:val="009A433E"/>
    <w:rsid w:val="009A48C2"/>
    <w:rsid w:val="009A4D08"/>
    <w:rsid w:val="009A559C"/>
    <w:rsid w:val="009A6489"/>
    <w:rsid w:val="009B00B9"/>
    <w:rsid w:val="009B0D31"/>
    <w:rsid w:val="009B0D51"/>
    <w:rsid w:val="009B12A6"/>
    <w:rsid w:val="009B1AF1"/>
    <w:rsid w:val="009B1B29"/>
    <w:rsid w:val="009B1E59"/>
    <w:rsid w:val="009B2BC1"/>
    <w:rsid w:val="009B577D"/>
    <w:rsid w:val="009B609E"/>
    <w:rsid w:val="009B6D58"/>
    <w:rsid w:val="009B6DEE"/>
    <w:rsid w:val="009B7A5B"/>
    <w:rsid w:val="009C1250"/>
    <w:rsid w:val="009C12C5"/>
    <w:rsid w:val="009C15D7"/>
    <w:rsid w:val="009C2129"/>
    <w:rsid w:val="009C2943"/>
    <w:rsid w:val="009C55BA"/>
    <w:rsid w:val="009C6192"/>
    <w:rsid w:val="009C67AE"/>
    <w:rsid w:val="009C6E30"/>
    <w:rsid w:val="009C6FA1"/>
    <w:rsid w:val="009C7D2B"/>
    <w:rsid w:val="009D0F63"/>
    <w:rsid w:val="009D108F"/>
    <w:rsid w:val="009D132E"/>
    <w:rsid w:val="009D1583"/>
    <w:rsid w:val="009D1801"/>
    <w:rsid w:val="009D5373"/>
    <w:rsid w:val="009D54C7"/>
    <w:rsid w:val="009D5CDC"/>
    <w:rsid w:val="009D63EA"/>
    <w:rsid w:val="009D659F"/>
    <w:rsid w:val="009E0418"/>
    <w:rsid w:val="009E0790"/>
    <w:rsid w:val="009E1548"/>
    <w:rsid w:val="009E1B8D"/>
    <w:rsid w:val="009E4685"/>
    <w:rsid w:val="009E4990"/>
    <w:rsid w:val="009E65AE"/>
    <w:rsid w:val="009E6FB0"/>
    <w:rsid w:val="009F010E"/>
    <w:rsid w:val="009F02ED"/>
    <w:rsid w:val="009F0913"/>
    <w:rsid w:val="009F1078"/>
    <w:rsid w:val="009F12E3"/>
    <w:rsid w:val="009F1AA7"/>
    <w:rsid w:val="009F2273"/>
    <w:rsid w:val="009F27E9"/>
    <w:rsid w:val="009F2B58"/>
    <w:rsid w:val="009F2EEF"/>
    <w:rsid w:val="009F3892"/>
    <w:rsid w:val="009F409D"/>
    <w:rsid w:val="009F435D"/>
    <w:rsid w:val="009F4488"/>
    <w:rsid w:val="009F45B2"/>
    <w:rsid w:val="009F4E20"/>
    <w:rsid w:val="009F6160"/>
    <w:rsid w:val="009F7CCB"/>
    <w:rsid w:val="00A00037"/>
    <w:rsid w:val="00A0199B"/>
    <w:rsid w:val="00A01E0D"/>
    <w:rsid w:val="00A02E7E"/>
    <w:rsid w:val="00A03B16"/>
    <w:rsid w:val="00A044EC"/>
    <w:rsid w:val="00A04CDE"/>
    <w:rsid w:val="00A06C44"/>
    <w:rsid w:val="00A06ECF"/>
    <w:rsid w:val="00A121C3"/>
    <w:rsid w:val="00A12478"/>
    <w:rsid w:val="00A13A9E"/>
    <w:rsid w:val="00A13D02"/>
    <w:rsid w:val="00A1411D"/>
    <w:rsid w:val="00A14167"/>
    <w:rsid w:val="00A14328"/>
    <w:rsid w:val="00A14E57"/>
    <w:rsid w:val="00A151F3"/>
    <w:rsid w:val="00A159ED"/>
    <w:rsid w:val="00A1614E"/>
    <w:rsid w:val="00A167FC"/>
    <w:rsid w:val="00A173B5"/>
    <w:rsid w:val="00A20744"/>
    <w:rsid w:val="00A210EE"/>
    <w:rsid w:val="00A217AB"/>
    <w:rsid w:val="00A22102"/>
    <w:rsid w:val="00A23526"/>
    <w:rsid w:val="00A23DDA"/>
    <w:rsid w:val="00A244CE"/>
    <w:rsid w:val="00A24540"/>
    <w:rsid w:val="00A24A15"/>
    <w:rsid w:val="00A24FF4"/>
    <w:rsid w:val="00A26D1C"/>
    <w:rsid w:val="00A27181"/>
    <w:rsid w:val="00A317C9"/>
    <w:rsid w:val="00A3284D"/>
    <w:rsid w:val="00A3405F"/>
    <w:rsid w:val="00A353B0"/>
    <w:rsid w:val="00A361B3"/>
    <w:rsid w:val="00A375BB"/>
    <w:rsid w:val="00A37C32"/>
    <w:rsid w:val="00A400EF"/>
    <w:rsid w:val="00A40F5C"/>
    <w:rsid w:val="00A41C73"/>
    <w:rsid w:val="00A432BA"/>
    <w:rsid w:val="00A433B8"/>
    <w:rsid w:val="00A43E2A"/>
    <w:rsid w:val="00A4567C"/>
    <w:rsid w:val="00A46D2B"/>
    <w:rsid w:val="00A505D1"/>
    <w:rsid w:val="00A50D26"/>
    <w:rsid w:val="00A512A0"/>
    <w:rsid w:val="00A517D0"/>
    <w:rsid w:val="00A51F10"/>
    <w:rsid w:val="00A533EF"/>
    <w:rsid w:val="00A543E9"/>
    <w:rsid w:val="00A5636E"/>
    <w:rsid w:val="00A563F4"/>
    <w:rsid w:val="00A5744A"/>
    <w:rsid w:val="00A57E5A"/>
    <w:rsid w:val="00A6158E"/>
    <w:rsid w:val="00A61B44"/>
    <w:rsid w:val="00A62401"/>
    <w:rsid w:val="00A62D63"/>
    <w:rsid w:val="00A630A4"/>
    <w:rsid w:val="00A63430"/>
    <w:rsid w:val="00A648B5"/>
    <w:rsid w:val="00A648BE"/>
    <w:rsid w:val="00A66491"/>
    <w:rsid w:val="00A66B15"/>
    <w:rsid w:val="00A67FAA"/>
    <w:rsid w:val="00A70504"/>
    <w:rsid w:val="00A7151D"/>
    <w:rsid w:val="00A71C45"/>
    <w:rsid w:val="00A71F39"/>
    <w:rsid w:val="00A72241"/>
    <w:rsid w:val="00A726BE"/>
    <w:rsid w:val="00A7297A"/>
    <w:rsid w:val="00A72EC3"/>
    <w:rsid w:val="00A738D3"/>
    <w:rsid w:val="00A73DCD"/>
    <w:rsid w:val="00A7408E"/>
    <w:rsid w:val="00A74D6C"/>
    <w:rsid w:val="00A75175"/>
    <w:rsid w:val="00A75A46"/>
    <w:rsid w:val="00A75F47"/>
    <w:rsid w:val="00A760E3"/>
    <w:rsid w:val="00A76905"/>
    <w:rsid w:val="00A800F8"/>
    <w:rsid w:val="00A8048F"/>
    <w:rsid w:val="00A804B7"/>
    <w:rsid w:val="00A80E73"/>
    <w:rsid w:val="00A82146"/>
    <w:rsid w:val="00A824D2"/>
    <w:rsid w:val="00A84F57"/>
    <w:rsid w:val="00A851DA"/>
    <w:rsid w:val="00A85E98"/>
    <w:rsid w:val="00A861AA"/>
    <w:rsid w:val="00A87E4E"/>
    <w:rsid w:val="00A91E7E"/>
    <w:rsid w:val="00A923C1"/>
    <w:rsid w:val="00A925D1"/>
    <w:rsid w:val="00A940B7"/>
    <w:rsid w:val="00A95777"/>
    <w:rsid w:val="00A957E4"/>
    <w:rsid w:val="00A95A4E"/>
    <w:rsid w:val="00A95BBD"/>
    <w:rsid w:val="00A96047"/>
    <w:rsid w:val="00A96A32"/>
    <w:rsid w:val="00A96CCD"/>
    <w:rsid w:val="00A97B9D"/>
    <w:rsid w:val="00AA0E67"/>
    <w:rsid w:val="00AA17AC"/>
    <w:rsid w:val="00AA1884"/>
    <w:rsid w:val="00AA2D26"/>
    <w:rsid w:val="00AA4087"/>
    <w:rsid w:val="00AA4581"/>
    <w:rsid w:val="00AA6015"/>
    <w:rsid w:val="00AA6B69"/>
    <w:rsid w:val="00AA6F85"/>
    <w:rsid w:val="00AA765B"/>
    <w:rsid w:val="00AA78EB"/>
    <w:rsid w:val="00AB2496"/>
    <w:rsid w:val="00AB2870"/>
    <w:rsid w:val="00AB2CC4"/>
    <w:rsid w:val="00AB355A"/>
    <w:rsid w:val="00AB36B6"/>
    <w:rsid w:val="00AB3E77"/>
    <w:rsid w:val="00AB670D"/>
    <w:rsid w:val="00AB730D"/>
    <w:rsid w:val="00AB7A76"/>
    <w:rsid w:val="00AB7C20"/>
    <w:rsid w:val="00AC337D"/>
    <w:rsid w:val="00AC408D"/>
    <w:rsid w:val="00AC4128"/>
    <w:rsid w:val="00AC4733"/>
    <w:rsid w:val="00AC6AD0"/>
    <w:rsid w:val="00AD0385"/>
    <w:rsid w:val="00AD09A4"/>
    <w:rsid w:val="00AD0B4D"/>
    <w:rsid w:val="00AD22A7"/>
    <w:rsid w:val="00AD24CB"/>
    <w:rsid w:val="00AD316C"/>
    <w:rsid w:val="00AD3E18"/>
    <w:rsid w:val="00AD494C"/>
    <w:rsid w:val="00AD4CB7"/>
    <w:rsid w:val="00AD501C"/>
    <w:rsid w:val="00AD5526"/>
    <w:rsid w:val="00AD553E"/>
    <w:rsid w:val="00AD55B5"/>
    <w:rsid w:val="00AD57E4"/>
    <w:rsid w:val="00AD5960"/>
    <w:rsid w:val="00AD5BA8"/>
    <w:rsid w:val="00AD6155"/>
    <w:rsid w:val="00AD61C5"/>
    <w:rsid w:val="00AD7546"/>
    <w:rsid w:val="00AD7BAC"/>
    <w:rsid w:val="00AD7EA1"/>
    <w:rsid w:val="00AE006D"/>
    <w:rsid w:val="00AE04CB"/>
    <w:rsid w:val="00AE0CF9"/>
    <w:rsid w:val="00AE1B78"/>
    <w:rsid w:val="00AE316C"/>
    <w:rsid w:val="00AE3FA7"/>
    <w:rsid w:val="00AE41C8"/>
    <w:rsid w:val="00AE4FD7"/>
    <w:rsid w:val="00AE5001"/>
    <w:rsid w:val="00AE519A"/>
    <w:rsid w:val="00AE5B37"/>
    <w:rsid w:val="00AE6627"/>
    <w:rsid w:val="00AE6CFD"/>
    <w:rsid w:val="00AE75D2"/>
    <w:rsid w:val="00AE76CF"/>
    <w:rsid w:val="00AF1E83"/>
    <w:rsid w:val="00AF20DA"/>
    <w:rsid w:val="00AF2B96"/>
    <w:rsid w:val="00AF3510"/>
    <w:rsid w:val="00AF441A"/>
    <w:rsid w:val="00AF4DC3"/>
    <w:rsid w:val="00AF50B4"/>
    <w:rsid w:val="00AF5B7E"/>
    <w:rsid w:val="00AF7770"/>
    <w:rsid w:val="00B00C86"/>
    <w:rsid w:val="00B02C84"/>
    <w:rsid w:val="00B03465"/>
    <w:rsid w:val="00B04301"/>
    <w:rsid w:val="00B050EC"/>
    <w:rsid w:val="00B0553F"/>
    <w:rsid w:val="00B06139"/>
    <w:rsid w:val="00B102AF"/>
    <w:rsid w:val="00B1169C"/>
    <w:rsid w:val="00B12170"/>
    <w:rsid w:val="00B122FA"/>
    <w:rsid w:val="00B1314B"/>
    <w:rsid w:val="00B14DB8"/>
    <w:rsid w:val="00B15485"/>
    <w:rsid w:val="00B15A9C"/>
    <w:rsid w:val="00B175F3"/>
    <w:rsid w:val="00B17AE3"/>
    <w:rsid w:val="00B20A19"/>
    <w:rsid w:val="00B21D38"/>
    <w:rsid w:val="00B22280"/>
    <w:rsid w:val="00B22C71"/>
    <w:rsid w:val="00B24420"/>
    <w:rsid w:val="00B24ABC"/>
    <w:rsid w:val="00B2586B"/>
    <w:rsid w:val="00B25955"/>
    <w:rsid w:val="00B260BD"/>
    <w:rsid w:val="00B261C1"/>
    <w:rsid w:val="00B278FC"/>
    <w:rsid w:val="00B27E81"/>
    <w:rsid w:val="00B27EE0"/>
    <w:rsid w:val="00B30727"/>
    <w:rsid w:val="00B30F57"/>
    <w:rsid w:val="00B317FF"/>
    <w:rsid w:val="00B345A1"/>
    <w:rsid w:val="00B35E3B"/>
    <w:rsid w:val="00B37D9B"/>
    <w:rsid w:val="00B4012E"/>
    <w:rsid w:val="00B432A7"/>
    <w:rsid w:val="00B434B6"/>
    <w:rsid w:val="00B45003"/>
    <w:rsid w:val="00B4505B"/>
    <w:rsid w:val="00B45ECE"/>
    <w:rsid w:val="00B45F3F"/>
    <w:rsid w:val="00B4636E"/>
    <w:rsid w:val="00B46A92"/>
    <w:rsid w:val="00B46E04"/>
    <w:rsid w:val="00B4720E"/>
    <w:rsid w:val="00B47666"/>
    <w:rsid w:val="00B5110F"/>
    <w:rsid w:val="00B51548"/>
    <w:rsid w:val="00B51EA1"/>
    <w:rsid w:val="00B52EF3"/>
    <w:rsid w:val="00B548A4"/>
    <w:rsid w:val="00B54F4B"/>
    <w:rsid w:val="00B55C1F"/>
    <w:rsid w:val="00B56490"/>
    <w:rsid w:val="00B5652A"/>
    <w:rsid w:val="00B5681B"/>
    <w:rsid w:val="00B57A29"/>
    <w:rsid w:val="00B604D3"/>
    <w:rsid w:val="00B60C91"/>
    <w:rsid w:val="00B613C4"/>
    <w:rsid w:val="00B62983"/>
    <w:rsid w:val="00B62BAD"/>
    <w:rsid w:val="00B643F3"/>
    <w:rsid w:val="00B6724A"/>
    <w:rsid w:val="00B678B1"/>
    <w:rsid w:val="00B678D1"/>
    <w:rsid w:val="00B679BB"/>
    <w:rsid w:val="00B67AED"/>
    <w:rsid w:val="00B67C2D"/>
    <w:rsid w:val="00B70890"/>
    <w:rsid w:val="00B714D5"/>
    <w:rsid w:val="00B71AE5"/>
    <w:rsid w:val="00B71F47"/>
    <w:rsid w:val="00B72164"/>
    <w:rsid w:val="00B72773"/>
    <w:rsid w:val="00B74C61"/>
    <w:rsid w:val="00B75122"/>
    <w:rsid w:val="00B754C0"/>
    <w:rsid w:val="00B75689"/>
    <w:rsid w:val="00B759A8"/>
    <w:rsid w:val="00B763AA"/>
    <w:rsid w:val="00B77D57"/>
    <w:rsid w:val="00B77DE8"/>
    <w:rsid w:val="00B77F7A"/>
    <w:rsid w:val="00B80396"/>
    <w:rsid w:val="00B80806"/>
    <w:rsid w:val="00B81359"/>
    <w:rsid w:val="00B83767"/>
    <w:rsid w:val="00B8389E"/>
    <w:rsid w:val="00B83DCD"/>
    <w:rsid w:val="00B841A9"/>
    <w:rsid w:val="00B86405"/>
    <w:rsid w:val="00B86A2C"/>
    <w:rsid w:val="00B9087C"/>
    <w:rsid w:val="00B90A29"/>
    <w:rsid w:val="00B9230D"/>
    <w:rsid w:val="00B93CEB"/>
    <w:rsid w:val="00B945B1"/>
    <w:rsid w:val="00B946A3"/>
    <w:rsid w:val="00B950E7"/>
    <w:rsid w:val="00B9515D"/>
    <w:rsid w:val="00B95B92"/>
    <w:rsid w:val="00B95BAD"/>
    <w:rsid w:val="00B95CB5"/>
    <w:rsid w:val="00B95E27"/>
    <w:rsid w:val="00B975E1"/>
    <w:rsid w:val="00BA0E42"/>
    <w:rsid w:val="00BA0F9B"/>
    <w:rsid w:val="00BA100B"/>
    <w:rsid w:val="00BA13E6"/>
    <w:rsid w:val="00BA14CE"/>
    <w:rsid w:val="00BA1AB1"/>
    <w:rsid w:val="00BA1C97"/>
    <w:rsid w:val="00BA3F40"/>
    <w:rsid w:val="00BA4890"/>
    <w:rsid w:val="00BA4AF4"/>
    <w:rsid w:val="00BA5E01"/>
    <w:rsid w:val="00BA5E5A"/>
    <w:rsid w:val="00BA6A35"/>
    <w:rsid w:val="00BB013D"/>
    <w:rsid w:val="00BB029B"/>
    <w:rsid w:val="00BB0A5B"/>
    <w:rsid w:val="00BB1AD2"/>
    <w:rsid w:val="00BB25B6"/>
    <w:rsid w:val="00BB5596"/>
    <w:rsid w:val="00BB5778"/>
    <w:rsid w:val="00BB580B"/>
    <w:rsid w:val="00BB762D"/>
    <w:rsid w:val="00BB7AAE"/>
    <w:rsid w:val="00BC26DE"/>
    <w:rsid w:val="00BC2966"/>
    <w:rsid w:val="00BC434D"/>
    <w:rsid w:val="00BC5C12"/>
    <w:rsid w:val="00BC69E7"/>
    <w:rsid w:val="00BC757A"/>
    <w:rsid w:val="00BC7682"/>
    <w:rsid w:val="00BC7D60"/>
    <w:rsid w:val="00BC7FFC"/>
    <w:rsid w:val="00BD0D2F"/>
    <w:rsid w:val="00BD1BF8"/>
    <w:rsid w:val="00BD2E2A"/>
    <w:rsid w:val="00BD32F4"/>
    <w:rsid w:val="00BD7E33"/>
    <w:rsid w:val="00BE06CF"/>
    <w:rsid w:val="00BE0F0B"/>
    <w:rsid w:val="00BE239D"/>
    <w:rsid w:val="00BE2D01"/>
    <w:rsid w:val="00BE3CC4"/>
    <w:rsid w:val="00BE42DB"/>
    <w:rsid w:val="00BE42E2"/>
    <w:rsid w:val="00BE42F1"/>
    <w:rsid w:val="00BE45E5"/>
    <w:rsid w:val="00BE5DBE"/>
    <w:rsid w:val="00BE64AF"/>
    <w:rsid w:val="00BE65F1"/>
    <w:rsid w:val="00BE7C43"/>
    <w:rsid w:val="00BF021A"/>
    <w:rsid w:val="00BF0295"/>
    <w:rsid w:val="00BF116A"/>
    <w:rsid w:val="00BF19D6"/>
    <w:rsid w:val="00BF1FC1"/>
    <w:rsid w:val="00BF321D"/>
    <w:rsid w:val="00BF3F85"/>
    <w:rsid w:val="00BF3FFE"/>
    <w:rsid w:val="00BF4733"/>
    <w:rsid w:val="00BF4A48"/>
    <w:rsid w:val="00BF4DBA"/>
    <w:rsid w:val="00BF5562"/>
    <w:rsid w:val="00BF5C6E"/>
    <w:rsid w:val="00BF68BA"/>
    <w:rsid w:val="00BF6DF0"/>
    <w:rsid w:val="00C025A0"/>
    <w:rsid w:val="00C04C4F"/>
    <w:rsid w:val="00C06936"/>
    <w:rsid w:val="00C06CE0"/>
    <w:rsid w:val="00C07417"/>
    <w:rsid w:val="00C10077"/>
    <w:rsid w:val="00C10F16"/>
    <w:rsid w:val="00C1143C"/>
    <w:rsid w:val="00C1168B"/>
    <w:rsid w:val="00C11DE9"/>
    <w:rsid w:val="00C124CB"/>
    <w:rsid w:val="00C12E9E"/>
    <w:rsid w:val="00C130E6"/>
    <w:rsid w:val="00C13CAA"/>
    <w:rsid w:val="00C13D65"/>
    <w:rsid w:val="00C141B6"/>
    <w:rsid w:val="00C16083"/>
    <w:rsid w:val="00C178B4"/>
    <w:rsid w:val="00C17C45"/>
    <w:rsid w:val="00C2052D"/>
    <w:rsid w:val="00C20D4F"/>
    <w:rsid w:val="00C211A6"/>
    <w:rsid w:val="00C2193D"/>
    <w:rsid w:val="00C2212E"/>
    <w:rsid w:val="00C22382"/>
    <w:rsid w:val="00C22734"/>
    <w:rsid w:val="00C22884"/>
    <w:rsid w:val="00C22CFA"/>
    <w:rsid w:val="00C26045"/>
    <w:rsid w:val="00C265F6"/>
    <w:rsid w:val="00C2660B"/>
    <w:rsid w:val="00C27FC1"/>
    <w:rsid w:val="00C306E0"/>
    <w:rsid w:val="00C313BB"/>
    <w:rsid w:val="00C33395"/>
    <w:rsid w:val="00C33CE9"/>
    <w:rsid w:val="00C340A1"/>
    <w:rsid w:val="00C34E7A"/>
    <w:rsid w:val="00C3559C"/>
    <w:rsid w:val="00C35ED5"/>
    <w:rsid w:val="00C36914"/>
    <w:rsid w:val="00C3736F"/>
    <w:rsid w:val="00C37454"/>
    <w:rsid w:val="00C42812"/>
    <w:rsid w:val="00C43DA2"/>
    <w:rsid w:val="00C43F72"/>
    <w:rsid w:val="00C452DC"/>
    <w:rsid w:val="00C46AEC"/>
    <w:rsid w:val="00C47B25"/>
    <w:rsid w:val="00C47B6F"/>
    <w:rsid w:val="00C47EA7"/>
    <w:rsid w:val="00C50285"/>
    <w:rsid w:val="00C5029A"/>
    <w:rsid w:val="00C50798"/>
    <w:rsid w:val="00C507D5"/>
    <w:rsid w:val="00C50AE3"/>
    <w:rsid w:val="00C51FFC"/>
    <w:rsid w:val="00C52029"/>
    <w:rsid w:val="00C53193"/>
    <w:rsid w:val="00C5393A"/>
    <w:rsid w:val="00C540C8"/>
    <w:rsid w:val="00C55451"/>
    <w:rsid w:val="00C55A4E"/>
    <w:rsid w:val="00C55C67"/>
    <w:rsid w:val="00C56482"/>
    <w:rsid w:val="00C566FC"/>
    <w:rsid w:val="00C56F5C"/>
    <w:rsid w:val="00C5757D"/>
    <w:rsid w:val="00C57B25"/>
    <w:rsid w:val="00C57BD4"/>
    <w:rsid w:val="00C60A27"/>
    <w:rsid w:val="00C61607"/>
    <w:rsid w:val="00C6282F"/>
    <w:rsid w:val="00C6305C"/>
    <w:rsid w:val="00C63D93"/>
    <w:rsid w:val="00C648EB"/>
    <w:rsid w:val="00C64E57"/>
    <w:rsid w:val="00C65BDB"/>
    <w:rsid w:val="00C65FF5"/>
    <w:rsid w:val="00C66CB6"/>
    <w:rsid w:val="00C70A82"/>
    <w:rsid w:val="00C70B76"/>
    <w:rsid w:val="00C71363"/>
    <w:rsid w:val="00C72075"/>
    <w:rsid w:val="00C7249A"/>
    <w:rsid w:val="00C74C81"/>
    <w:rsid w:val="00C750EA"/>
    <w:rsid w:val="00C75D02"/>
    <w:rsid w:val="00C75E8F"/>
    <w:rsid w:val="00C76811"/>
    <w:rsid w:val="00C77480"/>
    <w:rsid w:val="00C80B5A"/>
    <w:rsid w:val="00C82B59"/>
    <w:rsid w:val="00C831FC"/>
    <w:rsid w:val="00C84645"/>
    <w:rsid w:val="00C84A75"/>
    <w:rsid w:val="00C8594E"/>
    <w:rsid w:val="00C85B37"/>
    <w:rsid w:val="00C90857"/>
    <w:rsid w:val="00C90B8D"/>
    <w:rsid w:val="00C91729"/>
    <w:rsid w:val="00C919FA"/>
    <w:rsid w:val="00C91C47"/>
    <w:rsid w:val="00C93BDD"/>
    <w:rsid w:val="00C93CE6"/>
    <w:rsid w:val="00C940C4"/>
    <w:rsid w:val="00C94AA8"/>
    <w:rsid w:val="00C95BE0"/>
    <w:rsid w:val="00C95FA0"/>
    <w:rsid w:val="00CA0061"/>
    <w:rsid w:val="00CA1C05"/>
    <w:rsid w:val="00CA1C0D"/>
    <w:rsid w:val="00CA3CE8"/>
    <w:rsid w:val="00CA4156"/>
    <w:rsid w:val="00CA443C"/>
    <w:rsid w:val="00CA5314"/>
    <w:rsid w:val="00CA5420"/>
    <w:rsid w:val="00CA71AB"/>
    <w:rsid w:val="00CA73E6"/>
    <w:rsid w:val="00CA7605"/>
    <w:rsid w:val="00CB056F"/>
    <w:rsid w:val="00CB091C"/>
    <w:rsid w:val="00CB1531"/>
    <w:rsid w:val="00CB18E5"/>
    <w:rsid w:val="00CB1B5A"/>
    <w:rsid w:val="00CB20F7"/>
    <w:rsid w:val="00CB3603"/>
    <w:rsid w:val="00CB4E0B"/>
    <w:rsid w:val="00CB5F2D"/>
    <w:rsid w:val="00CB67EB"/>
    <w:rsid w:val="00CB6FE3"/>
    <w:rsid w:val="00CB78C5"/>
    <w:rsid w:val="00CB7EA1"/>
    <w:rsid w:val="00CC03DD"/>
    <w:rsid w:val="00CC1259"/>
    <w:rsid w:val="00CC1A00"/>
    <w:rsid w:val="00CC2FC4"/>
    <w:rsid w:val="00CC386B"/>
    <w:rsid w:val="00CC4CC3"/>
    <w:rsid w:val="00CC7FEF"/>
    <w:rsid w:val="00CD087A"/>
    <w:rsid w:val="00CD0A30"/>
    <w:rsid w:val="00CD1498"/>
    <w:rsid w:val="00CD1C1C"/>
    <w:rsid w:val="00CD2151"/>
    <w:rsid w:val="00CD2691"/>
    <w:rsid w:val="00CD33FD"/>
    <w:rsid w:val="00CD4EBC"/>
    <w:rsid w:val="00CD5C5C"/>
    <w:rsid w:val="00CD6853"/>
    <w:rsid w:val="00CD7BFB"/>
    <w:rsid w:val="00CE0494"/>
    <w:rsid w:val="00CE21E7"/>
    <w:rsid w:val="00CE236C"/>
    <w:rsid w:val="00CE2B2F"/>
    <w:rsid w:val="00CE2D86"/>
    <w:rsid w:val="00CE455E"/>
    <w:rsid w:val="00CE45F6"/>
    <w:rsid w:val="00CE49DF"/>
    <w:rsid w:val="00CE595D"/>
    <w:rsid w:val="00CE5DF2"/>
    <w:rsid w:val="00CE7206"/>
    <w:rsid w:val="00CF0083"/>
    <w:rsid w:val="00CF1329"/>
    <w:rsid w:val="00CF19FF"/>
    <w:rsid w:val="00CF21DB"/>
    <w:rsid w:val="00CF23C9"/>
    <w:rsid w:val="00CF2D6F"/>
    <w:rsid w:val="00CF2E0C"/>
    <w:rsid w:val="00CF4E15"/>
    <w:rsid w:val="00CF6724"/>
    <w:rsid w:val="00D008AB"/>
    <w:rsid w:val="00D009A9"/>
    <w:rsid w:val="00D02BD8"/>
    <w:rsid w:val="00D03D73"/>
    <w:rsid w:val="00D04220"/>
    <w:rsid w:val="00D045EA"/>
    <w:rsid w:val="00D055DE"/>
    <w:rsid w:val="00D05C4C"/>
    <w:rsid w:val="00D06705"/>
    <w:rsid w:val="00D11981"/>
    <w:rsid w:val="00D120DC"/>
    <w:rsid w:val="00D126DE"/>
    <w:rsid w:val="00D13454"/>
    <w:rsid w:val="00D13BF4"/>
    <w:rsid w:val="00D14042"/>
    <w:rsid w:val="00D143D8"/>
    <w:rsid w:val="00D14B07"/>
    <w:rsid w:val="00D16022"/>
    <w:rsid w:val="00D16419"/>
    <w:rsid w:val="00D17573"/>
    <w:rsid w:val="00D17BDF"/>
    <w:rsid w:val="00D20B99"/>
    <w:rsid w:val="00D227F2"/>
    <w:rsid w:val="00D22E37"/>
    <w:rsid w:val="00D24CFD"/>
    <w:rsid w:val="00D2529C"/>
    <w:rsid w:val="00D2597D"/>
    <w:rsid w:val="00D259AF"/>
    <w:rsid w:val="00D26DC4"/>
    <w:rsid w:val="00D26ED9"/>
    <w:rsid w:val="00D30368"/>
    <w:rsid w:val="00D3050D"/>
    <w:rsid w:val="00D30622"/>
    <w:rsid w:val="00D30B1E"/>
    <w:rsid w:val="00D30E20"/>
    <w:rsid w:val="00D3144B"/>
    <w:rsid w:val="00D31C91"/>
    <w:rsid w:val="00D3201A"/>
    <w:rsid w:val="00D32A3C"/>
    <w:rsid w:val="00D330AA"/>
    <w:rsid w:val="00D33567"/>
    <w:rsid w:val="00D33771"/>
    <w:rsid w:val="00D3442C"/>
    <w:rsid w:val="00D35D36"/>
    <w:rsid w:val="00D36E24"/>
    <w:rsid w:val="00D373A4"/>
    <w:rsid w:val="00D420DE"/>
    <w:rsid w:val="00D423F4"/>
    <w:rsid w:val="00D42E67"/>
    <w:rsid w:val="00D4677D"/>
    <w:rsid w:val="00D474FF"/>
    <w:rsid w:val="00D47521"/>
    <w:rsid w:val="00D50079"/>
    <w:rsid w:val="00D50D3D"/>
    <w:rsid w:val="00D50DCB"/>
    <w:rsid w:val="00D51210"/>
    <w:rsid w:val="00D51D76"/>
    <w:rsid w:val="00D529D9"/>
    <w:rsid w:val="00D52E47"/>
    <w:rsid w:val="00D542DD"/>
    <w:rsid w:val="00D5533A"/>
    <w:rsid w:val="00D555F4"/>
    <w:rsid w:val="00D56DED"/>
    <w:rsid w:val="00D578C6"/>
    <w:rsid w:val="00D60FBA"/>
    <w:rsid w:val="00D61A52"/>
    <w:rsid w:val="00D61F35"/>
    <w:rsid w:val="00D620B4"/>
    <w:rsid w:val="00D62277"/>
    <w:rsid w:val="00D62D1C"/>
    <w:rsid w:val="00D63094"/>
    <w:rsid w:val="00D645C6"/>
    <w:rsid w:val="00D648DF"/>
    <w:rsid w:val="00D64D00"/>
    <w:rsid w:val="00D650B3"/>
    <w:rsid w:val="00D652D3"/>
    <w:rsid w:val="00D658EC"/>
    <w:rsid w:val="00D65A6B"/>
    <w:rsid w:val="00D661A3"/>
    <w:rsid w:val="00D6650C"/>
    <w:rsid w:val="00D679CC"/>
    <w:rsid w:val="00D703DC"/>
    <w:rsid w:val="00D7068B"/>
    <w:rsid w:val="00D712A2"/>
    <w:rsid w:val="00D714D5"/>
    <w:rsid w:val="00D721AC"/>
    <w:rsid w:val="00D72210"/>
    <w:rsid w:val="00D7275B"/>
    <w:rsid w:val="00D72CAF"/>
    <w:rsid w:val="00D73237"/>
    <w:rsid w:val="00D739EF"/>
    <w:rsid w:val="00D73EA5"/>
    <w:rsid w:val="00D74383"/>
    <w:rsid w:val="00D744D9"/>
    <w:rsid w:val="00D75549"/>
    <w:rsid w:val="00D75C75"/>
    <w:rsid w:val="00D76079"/>
    <w:rsid w:val="00D76160"/>
    <w:rsid w:val="00D76810"/>
    <w:rsid w:val="00D76D93"/>
    <w:rsid w:val="00D77266"/>
    <w:rsid w:val="00D814A0"/>
    <w:rsid w:val="00D83361"/>
    <w:rsid w:val="00D84C7A"/>
    <w:rsid w:val="00D85DB8"/>
    <w:rsid w:val="00D871E3"/>
    <w:rsid w:val="00D8726A"/>
    <w:rsid w:val="00D87E40"/>
    <w:rsid w:val="00D90202"/>
    <w:rsid w:val="00D90B5B"/>
    <w:rsid w:val="00D91EB0"/>
    <w:rsid w:val="00D9274A"/>
    <w:rsid w:val="00D92AC8"/>
    <w:rsid w:val="00D93302"/>
    <w:rsid w:val="00D95423"/>
    <w:rsid w:val="00D96569"/>
    <w:rsid w:val="00D96E5B"/>
    <w:rsid w:val="00D970EC"/>
    <w:rsid w:val="00D97E7A"/>
    <w:rsid w:val="00DA0E04"/>
    <w:rsid w:val="00DA13D9"/>
    <w:rsid w:val="00DA318B"/>
    <w:rsid w:val="00DA49ED"/>
    <w:rsid w:val="00DA5D6A"/>
    <w:rsid w:val="00DA6175"/>
    <w:rsid w:val="00DA7521"/>
    <w:rsid w:val="00DA75CF"/>
    <w:rsid w:val="00DB0DD0"/>
    <w:rsid w:val="00DB0E1C"/>
    <w:rsid w:val="00DB22A6"/>
    <w:rsid w:val="00DB2459"/>
    <w:rsid w:val="00DB2981"/>
    <w:rsid w:val="00DB2DFD"/>
    <w:rsid w:val="00DB3EDD"/>
    <w:rsid w:val="00DB44BF"/>
    <w:rsid w:val="00DB4693"/>
    <w:rsid w:val="00DB4FB2"/>
    <w:rsid w:val="00DB5035"/>
    <w:rsid w:val="00DB584D"/>
    <w:rsid w:val="00DB6567"/>
    <w:rsid w:val="00DB6785"/>
    <w:rsid w:val="00DB704A"/>
    <w:rsid w:val="00DB7C22"/>
    <w:rsid w:val="00DC0411"/>
    <w:rsid w:val="00DC066A"/>
    <w:rsid w:val="00DC09EA"/>
    <w:rsid w:val="00DC5195"/>
    <w:rsid w:val="00DC5C5D"/>
    <w:rsid w:val="00DC5CBC"/>
    <w:rsid w:val="00DC62AC"/>
    <w:rsid w:val="00DC7E26"/>
    <w:rsid w:val="00DD0CC2"/>
    <w:rsid w:val="00DD11B7"/>
    <w:rsid w:val="00DD19F0"/>
    <w:rsid w:val="00DD22C4"/>
    <w:rsid w:val="00DD2784"/>
    <w:rsid w:val="00DD29D7"/>
    <w:rsid w:val="00DD3875"/>
    <w:rsid w:val="00DD510B"/>
    <w:rsid w:val="00DD5B66"/>
    <w:rsid w:val="00DD5FDD"/>
    <w:rsid w:val="00DD6AB1"/>
    <w:rsid w:val="00DD7C7C"/>
    <w:rsid w:val="00DD7CFE"/>
    <w:rsid w:val="00DD7F82"/>
    <w:rsid w:val="00DE0DB3"/>
    <w:rsid w:val="00DE0FC1"/>
    <w:rsid w:val="00DE2097"/>
    <w:rsid w:val="00DE21FA"/>
    <w:rsid w:val="00DE2838"/>
    <w:rsid w:val="00DE28D9"/>
    <w:rsid w:val="00DE29BD"/>
    <w:rsid w:val="00DE2C29"/>
    <w:rsid w:val="00DE2FAA"/>
    <w:rsid w:val="00DE3195"/>
    <w:rsid w:val="00DE31F5"/>
    <w:rsid w:val="00DE4B29"/>
    <w:rsid w:val="00DE54C3"/>
    <w:rsid w:val="00DE5C55"/>
    <w:rsid w:val="00DE6674"/>
    <w:rsid w:val="00DE6A23"/>
    <w:rsid w:val="00DE75B5"/>
    <w:rsid w:val="00DE7B5C"/>
    <w:rsid w:val="00DE7E98"/>
    <w:rsid w:val="00DF0431"/>
    <w:rsid w:val="00DF05CB"/>
    <w:rsid w:val="00DF22B0"/>
    <w:rsid w:val="00DF3D2A"/>
    <w:rsid w:val="00DF4258"/>
    <w:rsid w:val="00DF446F"/>
    <w:rsid w:val="00DF46DF"/>
    <w:rsid w:val="00DF4DC8"/>
    <w:rsid w:val="00DF52CF"/>
    <w:rsid w:val="00DF5DCA"/>
    <w:rsid w:val="00DF76D7"/>
    <w:rsid w:val="00E00032"/>
    <w:rsid w:val="00E008C8"/>
    <w:rsid w:val="00E00A8B"/>
    <w:rsid w:val="00E01F1B"/>
    <w:rsid w:val="00E03920"/>
    <w:rsid w:val="00E03C55"/>
    <w:rsid w:val="00E03E13"/>
    <w:rsid w:val="00E04B09"/>
    <w:rsid w:val="00E05D37"/>
    <w:rsid w:val="00E05E10"/>
    <w:rsid w:val="00E06D4E"/>
    <w:rsid w:val="00E06FA6"/>
    <w:rsid w:val="00E1042D"/>
    <w:rsid w:val="00E145E9"/>
    <w:rsid w:val="00E14B7D"/>
    <w:rsid w:val="00E15319"/>
    <w:rsid w:val="00E16403"/>
    <w:rsid w:val="00E16448"/>
    <w:rsid w:val="00E16A6A"/>
    <w:rsid w:val="00E17349"/>
    <w:rsid w:val="00E21076"/>
    <w:rsid w:val="00E21973"/>
    <w:rsid w:val="00E23427"/>
    <w:rsid w:val="00E24E2F"/>
    <w:rsid w:val="00E2568F"/>
    <w:rsid w:val="00E25986"/>
    <w:rsid w:val="00E25D4B"/>
    <w:rsid w:val="00E26834"/>
    <w:rsid w:val="00E27AB6"/>
    <w:rsid w:val="00E307FF"/>
    <w:rsid w:val="00E30ADD"/>
    <w:rsid w:val="00E31861"/>
    <w:rsid w:val="00E31BD7"/>
    <w:rsid w:val="00E3272E"/>
    <w:rsid w:val="00E33D31"/>
    <w:rsid w:val="00E342AC"/>
    <w:rsid w:val="00E35770"/>
    <w:rsid w:val="00E35FBE"/>
    <w:rsid w:val="00E363B4"/>
    <w:rsid w:val="00E37270"/>
    <w:rsid w:val="00E40494"/>
    <w:rsid w:val="00E423FB"/>
    <w:rsid w:val="00E43427"/>
    <w:rsid w:val="00E43AF7"/>
    <w:rsid w:val="00E43B9E"/>
    <w:rsid w:val="00E442D1"/>
    <w:rsid w:val="00E45594"/>
    <w:rsid w:val="00E458F1"/>
    <w:rsid w:val="00E458F9"/>
    <w:rsid w:val="00E45D8A"/>
    <w:rsid w:val="00E4601E"/>
    <w:rsid w:val="00E46CFD"/>
    <w:rsid w:val="00E47C03"/>
    <w:rsid w:val="00E47F3D"/>
    <w:rsid w:val="00E50026"/>
    <w:rsid w:val="00E52283"/>
    <w:rsid w:val="00E5241F"/>
    <w:rsid w:val="00E52C21"/>
    <w:rsid w:val="00E5300E"/>
    <w:rsid w:val="00E5395C"/>
    <w:rsid w:val="00E54269"/>
    <w:rsid w:val="00E55A01"/>
    <w:rsid w:val="00E6065C"/>
    <w:rsid w:val="00E614DF"/>
    <w:rsid w:val="00E61878"/>
    <w:rsid w:val="00E6200E"/>
    <w:rsid w:val="00E63A6C"/>
    <w:rsid w:val="00E63BE2"/>
    <w:rsid w:val="00E643C6"/>
    <w:rsid w:val="00E65196"/>
    <w:rsid w:val="00E65ABA"/>
    <w:rsid w:val="00E667BE"/>
    <w:rsid w:val="00E6683F"/>
    <w:rsid w:val="00E670C3"/>
    <w:rsid w:val="00E671D4"/>
    <w:rsid w:val="00E67F3A"/>
    <w:rsid w:val="00E7277D"/>
    <w:rsid w:val="00E72E22"/>
    <w:rsid w:val="00E72F5F"/>
    <w:rsid w:val="00E73054"/>
    <w:rsid w:val="00E73185"/>
    <w:rsid w:val="00E73A68"/>
    <w:rsid w:val="00E73AF3"/>
    <w:rsid w:val="00E74362"/>
    <w:rsid w:val="00E74600"/>
    <w:rsid w:val="00E746E0"/>
    <w:rsid w:val="00E75407"/>
    <w:rsid w:val="00E755E6"/>
    <w:rsid w:val="00E757FD"/>
    <w:rsid w:val="00E75917"/>
    <w:rsid w:val="00E75A55"/>
    <w:rsid w:val="00E77D61"/>
    <w:rsid w:val="00E83421"/>
    <w:rsid w:val="00E83F9B"/>
    <w:rsid w:val="00E85409"/>
    <w:rsid w:val="00E857AD"/>
    <w:rsid w:val="00E859D0"/>
    <w:rsid w:val="00E8603C"/>
    <w:rsid w:val="00E910A0"/>
    <w:rsid w:val="00E91284"/>
    <w:rsid w:val="00E914E0"/>
    <w:rsid w:val="00E91879"/>
    <w:rsid w:val="00E91899"/>
    <w:rsid w:val="00E9262B"/>
    <w:rsid w:val="00E93DE4"/>
    <w:rsid w:val="00E94165"/>
    <w:rsid w:val="00E94CD0"/>
    <w:rsid w:val="00E94FA4"/>
    <w:rsid w:val="00E97408"/>
    <w:rsid w:val="00E97BDE"/>
    <w:rsid w:val="00EA1204"/>
    <w:rsid w:val="00EA18B9"/>
    <w:rsid w:val="00EA1B45"/>
    <w:rsid w:val="00EA2505"/>
    <w:rsid w:val="00EA3FBA"/>
    <w:rsid w:val="00EA4883"/>
    <w:rsid w:val="00EA48ED"/>
    <w:rsid w:val="00EA5C38"/>
    <w:rsid w:val="00EB06CE"/>
    <w:rsid w:val="00EB1D34"/>
    <w:rsid w:val="00EB1DB1"/>
    <w:rsid w:val="00EB4355"/>
    <w:rsid w:val="00EB4E36"/>
    <w:rsid w:val="00EB6363"/>
    <w:rsid w:val="00EC0668"/>
    <w:rsid w:val="00EC169F"/>
    <w:rsid w:val="00EC19EA"/>
    <w:rsid w:val="00EC2A54"/>
    <w:rsid w:val="00EC3149"/>
    <w:rsid w:val="00EC37CC"/>
    <w:rsid w:val="00EC4EA3"/>
    <w:rsid w:val="00EC6A52"/>
    <w:rsid w:val="00EC74BC"/>
    <w:rsid w:val="00EC79A1"/>
    <w:rsid w:val="00EC7A3C"/>
    <w:rsid w:val="00ED007E"/>
    <w:rsid w:val="00ED2BAF"/>
    <w:rsid w:val="00ED3477"/>
    <w:rsid w:val="00ED41E8"/>
    <w:rsid w:val="00ED42EA"/>
    <w:rsid w:val="00ED6C3C"/>
    <w:rsid w:val="00ED6D8F"/>
    <w:rsid w:val="00ED7682"/>
    <w:rsid w:val="00ED793B"/>
    <w:rsid w:val="00EE135B"/>
    <w:rsid w:val="00EE13B6"/>
    <w:rsid w:val="00EE1968"/>
    <w:rsid w:val="00EE2D7F"/>
    <w:rsid w:val="00EE31CB"/>
    <w:rsid w:val="00EE3487"/>
    <w:rsid w:val="00EE3D88"/>
    <w:rsid w:val="00EE3F04"/>
    <w:rsid w:val="00EE4ACB"/>
    <w:rsid w:val="00EE52C0"/>
    <w:rsid w:val="00EE60DA"/>
    <w:rsid w:val="00EE6178"/>
    <w:rsid w:val="00EE6541"/>
    <w:rsid w:val="00EE6C14"/>
    <w:rsid w:val="00EE7424"/>
    <w:rsid w:val="00EE7F4E"/>
    <w:rsid w:val="00EF0CC4"/>
    <w:rsid w:val="00EF1444"/>
    <w:rsid w:val="00EF340F"/>
    <w:rsid w:val="00EF3BD6"/>
    <w:rsid w:val="00EF4142"/>
    <w:rsid w:val="00EF4D8E"/>
    <w:rsid w:val="00EF533D"/>
    <w:rsid w:val="00EF5FC4"/>
    <w:rsid w:val="00EF6339"/>
    <w:rsid w:val="00F01AEF"/>
    <w:rsid w:val="00F01BB9"/>
    <w:rsid w:val="00F023BD"/>
    <w:rsid w:val="00F04913"/>
    <w:rsid w:val="00F0612B"/>
    <w:rsid w:val="00F0617F"/>
    <w:rsid w:val="00F062DA"/>
    <w:rsid w:val="00F108A0"/>
    <w:rsid w:val="00F10A38"/>
    <w:rsid w:val="00F119E7"/>
    <w:rsid w:val="00F12922"/>
    <w:rsid w:val="00F12BE0"/>
    <w:rsid w:val="00F13B47"/>
    <w:rsid w:val="00F13FF4"/>
    <w:rsid w:val="00F14F16"/>
    <w:rsid w:val="00F159E6"/>
    <w:rsid w:val="00F1705B"/>
    <w:rsid w:val="00F17D30"/>
    <w:rsid w:val="00F20CC1"/>
    <w:rsid w:val="00F22A08"/>
    <w:rsid w:val="00F23575"/>
    <w:rsid w:val="00F24D41"/>
    <w:rsid w:val="00F2547B"/>
    <w:rsid w:val="00F2571B"/>
    <w:rsid w:val="00F27B7A"/>
    <w:rsid w:val="00F30CF6"/>
    <w:rsid w:val="00F3139E"/>
    <w:rsid w:val="00F32A52"/>
    <w:rsid w:val="00F32E3C"/>
    <w:rsid w:val="00F339BC"/>
    <w:rsid w:val="00F342B6"/>
    <w:rsid w:val="00F34E05"/>
    <w:rsid w:val="00F35736"/>
    <w:rsid w:val="00F365B2"/>
    <w:rsid w:val="00F37124"/>
    <w:rsid w:val="00F41A56"/>
    <w:rsid w:val="00F4290C"/>
    <w:rsid w:val="00F42D07"/>
    <w:rsid w:val="00F438B5"/>
    <w:rsid w:val="00F44A67"/>
    <w:rsid w:val="00F451AD"/>
    <w:rsid w:val="00F463BA"/>
    <w:rsid w:val="00F466B9"/>
    <w:rsid w:val="00F47256"/>
    <w:rsid w:val="00F47A99"/>
    <w:rsid w:val="00F50215"/>
    <w:rsid w:val="00F516F4"/>
    <w:rsid w:val="00F547FB"/>
    <w:rsid w:val="00F55F94"/>
    <w:rsid w:val="00F562BE"/>
    <w:rsid w:val="00F60E6F"/>
    <w:rsid w:val="00F612EB"/>
    <w:rsid w:val="00F6527B"/>
    <w:rsid w:val="00F66961"/>
    <w:rsid w:val="00F67E6C"/>
    <w:rsid w:val="00F70D43"/>
    <w:rsid w:val="00F72DDC"/>
    <w:rsid w:val="00F72E37"/>
    <w:rsid w:val="00F73016"/>
    <w:rsid w:val="00F731D3"/>
    <w:rsid w:val="00F7375B"/>
    <w:rsid w:val="00F73B6E"/>
    <w:rsid w:val="00F73D71"/>
    <w:rsid w:val="00F754EC"/>
    <w:rsid w:val="00F75C98"/>
    <w:rsid w:val="00F83168"/>
    <w:rsid w:val="00F832A3"/>
    <w:rsid w:val="00F83B15"/>
    <w:rsid w:val="00F84850"/>
    <w:rsid w:val="00F84D19"/>
    <w:rsid w:val="00F85563"/>
    <w:rsid w:val="00F855C6"/>
    <w:rsid w:val="00F8608D"/>
    <w:rsid w:val="00F874FB"/>
    <w:rsid w:val="00F91F00"/>
    <w:rsid w:val="00F93147"/>
    <w:rsid w:val="00F95FF4"/>
    <w:rsid w:val="00F96CE9"/>
    <w:rsid w:val="00F96F3A"/>
    <w:rsid w:val="00F97B5F"/>
    <w:rsid w:val="00FA0BC6"/>
    <w:rsid w:val="00FA22D0"/>
    <w:rsid w:val="00FA3D33"/>
    <w:rsid w:val="00FA4182"/>
    <w:rsid w:val="00FA49AE"/>
    <w:rsid w:val="00FA4EFD"/>
    <w:rsid w:val="00FA56ED"/>
    <w:rsid w:val="00FA6352"/>
    <w:rsid w:val="00FA720C"/>
    <w:rsid w:val="00FA7570"/>
    <w:rsid w:val="00FA76D6"/>
    <w:rsid w:val="00FA7BA5"/>
    <w:rsid w:val="00FB00D1"/>
    <w:rsid w:val="00FB167D"/>
    <w:rsid w:val="00FB1F0B"/>
    <w:rsid w:val="00FB25D4"/>
    <w:rsid w:val="00FB2852"/>
    <w:rsid w:val="00FB3B6B"/>
    <w:rsid w:val="00FB3C5B"/>
    <w:rsid w:val="00FB4407"/>
    <w:rsid w:val="00FB4650"/>
    <w:rsid w:val="00FB4D52"/>
    <w:rsid w:val="00FB503D"/>
    <w:rsid w:val="00FB5108"/>
    <w:rsid w:val="00FB5AC2"/>
    <w:rsid w:val="00FB5E56"/>
    <w:rsid w:val="00FB6510"/>
    <w:rsid w:val="00FB6642"/>
    <w:rsid w:val="00FB73F9"/>
    <w:rsid w:val="00FC0696"/>
    <w:rsid w:val="00FC1550"/>
    <w:rsid w:val="00FC1E58"/>
    <w:rsid w:val="00FC265A"/>
    <w:rsid w:val="00FC381C"/>
    <w:rsid w:val="00FC3942"/>
    <w:rsid w:val="00FC3BD4"/>
    <w:rsid w:val="00FC3F2D"/>
    <w:rsid w:val="00FC5352"/>
    <w:rsid w:val="00FC53D4"/>
    <w:rsid w:val="00FC6219"/>
    <w:rsid w:val="00FC646C"/>
    <w:rsid w:val="00FC720E"/>
    <w:rsid w:val="00FC7CCA"/>
    <w:rsid w:val="00FC7EB8"/>
    <w:rsid w:val="00FD073E"/>
    <w:rsid w:val="00FD093E"/>
    <w:rsid w:val="00FD2DB5"/>
    <w:rsid w:val="00FD4864"/>
    <w:rsid w:val="00FD5CB2"/>
    <w:rsid w:val="00FD6A2F"/>
    <w:rsid w:val="00FD6D4B"/>
    <w:rsid w:val="00FD7B45"/>
    <w:rsid w:val="00FE17D7"/>
    <w:rsid w:val="00FE396B"/>
    <w:rsid w:val="00FE44EE"/>
    <w:rsid w:val="00FE4889"/>
    <w:rsid w:val="00FE5464"/>
    <w:rsid w:val="00FE5A3E"/>
    <w:rsid w:val="00FE654B"/>
    <w:rsid w:val="00FE6E12"/>
    <w:rsid w:val="00FE6ECB"/>
    <w:rsid w:val="00FE7F34"/>
    <w:rsid w:val="00FF0A8B"/>
    <w:rsid w:val="00FF0E3E"/>
    <w:rsid w:val="00FF1267"/>
    <w:rsid w:val="00FF1E41"/>
    <w:rsid w:val="00FF4372"/>
    <w:rsid w:val="00FF4BB2"/>
    <w:rsid w:val="00FF4C24"/>
    <w:rsid w:val="00FF59E7"/>
    <w:rsid w:val="00FF5F97"/>
    <w:rsid w:val="00FF7257"/>
    <w:rsid w:val="00FF752A"/>
    <w:rsid w:val="00FF7BD9"/>
    <w:rsid w:val="035F1994"/>
    <w:rsid w:val="04353C9C"/>
    <w:rsid w:val="049623F8"/>
    <w:rsid w:val="04D06D42"/>
    <w:rsid w:val="05B95F1E"/>
    <w:rsid w:val="086E1568"/>
    <w:rsid w:val="08E159BD"/>
    <w:rsid w:val="093E3E7A"/>
    <w:rsid w:val="0962641F"/>
    <w:rsid w:val="09630209"/>
    <w:rsid w:val="0B3953E3"/>
    <w:rsid w:val="0C446D06"/>
    <w:rsid w:val="0C901502"/>
    <w:rsid w:val="0CEF3A66"/>
    <w:rsid w:val="0CF2711F"/>
    <w:rsid w:val="0D9C70D9"/>
    <w:rsid w:val="0DE7465B"/>
    <w:rsid w:val="0E5D31AA"/>
    <w:rsid w:val="0F3F7BC8"/>
    <w:rsid w:val="0FA9604D"/>
    <w:rsid w:val="10185A7B"/>
    <w:rsid w:val="10B15434"/>
    <w:rsid w:val="12C50C1A"/>
    <w:rsid w:val="14323E6A"/>
    <w:rsid w:val="145D61E2"/>
    <w:rsid w:val="15774764"/>
    <w:rsid w:val="17F301A9"/>
    <w:rsid w:val="199A0A0E"/>
    <w:rsid w:val="19EF1374"/>
    <w:rsid w:val="1A95003E"/>
    <w:rsid w:val="1AD50FEF"/>
    <w:rsid w:val="1B813CE0"/>
    <w:rsid w:val="1B9D4516"/>
    <w:rsid w:val="1CDA398F"/>
    <w:rsid w:val="1DD75FFA"/>
    <w:rsid w:val="1E5D2CF3"/>
    <w:rsid w:val="20052AA6"/>
    <w:rsid w:val="200643E5"/>
    <w:rsid w:val="219E2716"/>
    <w:rsid w:val="22624C8B"/>
    <w:rsid w:val="235F1BA8"/>
    <w:rsid w:val="28A02A1B"/>
    <w:rsid w:val="28CA0B7C"/>
    <w:rsid w:val="29C4257F"/>
    <w:rsid w:val="2BDC2E5C"/>
    <w:rsid w:val="2BE85216"/>
    <w:rsid w:val="2F7A734E"/>
    <w:rsid w:val="2F9C16C2"/>
    <w:rsid w:val="2FD97FDB"/>
    <w:rsid w:val="33940D54"/>
    <w:rsid w:val="33CE6340"/>
    <w:rsid w:val="35BD25C7"/>
    <w:rsid w:val="36576957"/>
    <w:rsid w:val="373E348E"/>
    <w:rsid w:val="37672FB0"/>
    <w:rsid w:val="381C5B0D"/>
    <w:rsid w:val="3A891042"/>
    <w:rsid w:val="3A8F55CD"/>
    <w:rsid w:val="3B0F437A"/>
    <w:rsid w:val="3B537E3D"/>
    <w:rsid w:val="3B9220C8"/>
    <w:rsid w:val="40482E6A"/>
    <w:rsid w:val="415D52C3"/>
    <w:rsid w:val="42E26497"/>
    <w:rsid w:val="44313E1C"/>
    <w:rsid w:val="443A709A"/>
    <w:rsid w:val="463F2F6A"/>
    <w:rsid w:val="47C13C63"/>
    <w:rsid w:val="491739FA"/>
    <w:rsid w:val="4C7A73E0"/>
    <w:rsid w:val="4DDB6F48"/>
    <w:rsid w:val="4DF0361D"/>
    <w:rsid w:val="4E9F73FB"/>
    <w:rsid w:val="50826996"/>
    <w:rsid w:val="5172570A"/>
    <w:rsid w:val="52C771B4"/>
    <w:rsid w:val="53980F62"/>
    <w:rsid w:val="543A1806"/>
    <w:rsid w:val="54731278"/>
    <w:rsid w:val="547B7A27"/>
    <w:rsid w:val="54992EC7"/>
    <w:rsid w:val="54E86EE4"/>
    <w:rsid w:val="55883662"/>
    <w:rsid w:val="55AC4B21"/>
    <w:rsid w:val="56E9380E"/>
    <w:rsid w:val="57265097"/>
    <w:rsid w:val="57322C6A"/>
    <w:rsid w:val="577440B3"/>
    <w:rsid w:val="579A614B"/>
    <w:rsid w:val="586048C1"/>
    <w:rsid w:val="5AA727CA"/>
    <w:rsid w:val="5C0052EE"/>
    <w:rsid w:val="5C19131B"/>
    <w:rsid w:val="5CF01AC2"/>
    <w:rsid w:val="5D2A34F6"/>
    <w:rsid w:val="5D4E5899"/>
    <w:rsid w:val="601E3970"/>
    <w:rsid w:val="60895EF6"/>
    <w:rsid w:val="612748DD"/>
    <w:rsid w:val="61E51EA2"/>
    <w:rsid w:val="61FF62A7"/>
    <w:rsid w:val="63F60F25"/>
    <w:rsid w:val="65B37642"/>
    <w:rsid w:val="65F67457"/>
    <w:rsid w:val="679612FA"/>
    <w:rsid w:val="68CE4C4D"/>
    <w:rsid w:val="691256D9"/>
    <w:rsid w:val="69955344"/>
    <w:rsid w:val="6A794FEC"/>
    <w:rsid w:val="6B5A63A7"/>
    <w:rsid w:val="6B6507A9"/>
    <w:rsid w:val="6CB0467D"/>
    <w:rsid w:val="6D5F329C"/>
    <w:rsid w:val="6DFCBAB7"/>
    <w:rsid w:val="6E4814A7"/>
    <w:rsid w:val="6F376AE5"/>
    <w:rsid w:val="6F581245"/>
    <w:rsid w:val="6FFFD1E1"/>
    <w:rsid w:val="70A8632E"/>
    <w:rsid w:val="70E015B7"/>
    <w:rsid w:val="747B6D6D"/>
    <w:rsid w:val="75171DCD"/>
    <w:rsid w:val="77744114"/>
    <w:rsid w:val="78A2429F"/>
    <w:rsid w:val="7A7D47A3"/>
    <w:rsid w:val="7E3E7DA3"/>
    <w:rsid w:val="D7B360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99" w:semiHidden="0" w:name="annotation text"/>
    <w:lsdException w:qFormat="1" w:unhideWhenUsed="0" w:uiPriority="0"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qFormat="1" w:unhideWhenUsed="0" w:uiPriority="0" w:name="footnote reference"/>
    <w:lsdException w:qFormat="1" w:unhideWhenUsed="0" w:uiPriority="99"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ocked="1"/>
    <w:lsdException w:uiPriority="0" w:name="List 2"/>
    <w:lsdException w:uiPriority="0" w:name="List 3"/>
    <w:lsdException w:unhideWhenUsed="0" w:uiPriority="0" w:semiHidden="0" w:name="List 4" w:locked="1"/>
    <w:lsdException w:unhideWhenUsed="0" w:uiPriority="0" w:semiHidden="0" w:name="List 5" w:locked="1"/>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ocked="1"/>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ocked="1"/>
    <w:lsdException w:unhideWhenUsed="0" w:uiPriority="0" w:semiHidden="0" w:name="Salutation" w:locked="1"/>
    <w:lsdException w:qFormat="1" w:unhideWhenUsed="0" w:uiPriority="0" w:semiHidden="0" w:name="Date"/>
    <w:lsdException w:unhideWhenUsed="0" w:uiPriority="0" w:semiHidden="0" w:name="Body Text First Indent" w:locked="1"/>
    <w:lsdException w:uiPriority="0" w:name="Body Text First Indent 2"/>
    <w:lsdException w:uiPriority="0" w:name="Note Heading"/>
    <w:lsdException w:uiPriority="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0" w:semiHidden="0" w:name="Hyperlink"/>
    <w:lsdException w:qFormat="1" w:unhideWhenUsed="0" w:uiPriority="0" w:semiHidden="0" w:name="FollowedHyperlink"/>
    <w:lsdException w:qFormat="1" w:unhideWhenUsed="0" w:uiPriority="22" w:semiHidden="0" w:name="Strong" w:locked="1"/>
    <w:lsdException w:qFormat="1" w:unhideWhenUsed="0" w:uiPriority="0" w:semiHidden="0" w:name="Emphasis" w:locked="1"/>
    <w:lsdException w:qFormat="1" w:unhideWhenUsed="0" w:uiPriority="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9"/>
    <w:qFormat/>
    <w:uiPriority w:val="0"/>
    <w:pPr>
      <w:widowControl/>
      <w:spacing w:before="100" w:beforeAutospacing="1" w:after="100" w:afterAutospacing="1" w:line="460" w:lineRule="exact"/>
      <w:jc w:val="left"/>
      <w:outlineLvl w:val="1"/>
    </w:pPr>
    <w:rPr>
      <w:rFonts w:ascii="宋体"/>
      <w:b/>
      <w:bCs/>
      <w:kern w:val="0"/>
      <w:sz w:val="36"/>
      <w:szCs w:val="36"/>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4">
    <w:name w:val="caption"/>
    <w:basedOn w:val="1"/>
    <w:next w:val="1"/>
    <w:qFormat/>
    <w:uiPriority w:val="0"/>
    <w:pPr>
      <w:spacing w:before="152" w:line="460" w:lineRule="exact"/>
    </w:pPr>
    <w:rPr>
      <w:rFonts w:ascii="Arial" w:hAnsi="Arial" w:eastAsia="黑体"/>
      <w:szCs w:val="20"/>
    </w:rPr>
  </w:style>
  <w:style w:type="paragraph" w:styleId="5">
    <w:name w:val="Document Map"/>
    <w:basedOn w:val="1"/>
    <w:link w:val="51"/>
    <w:semiHidden/>
    <w:qFormat/>
    <w:uiPriority w:val="0"/>
    <w:rPr>
      <w:rFonts w:ascii="宋体"/>
      <w:kern w:val="0"/>
      <w:sz w:val="18"/>
      <w:szCs w:val="18"/>
    </w:rPr>
  </w:style>
  <w:style w:type="paragraph" w:styleId="6">
    <w:name w:val="annotation text"/>
    <w:basedOn w:val="1"/>
    <w:link w:val="45"/>
    <w:qFormat/>
    <w:uiPriority w:val="99"/>
    <w:pPr>
      <w:spacing w:line="460" w:lineRule="exact"/>
      <w:jc w:val="left"/>
    </w:pPr>
    <w:rPr>
      <w:rFonts w:ascii="Calibri" w:hAnsi="Calibri"/>
      <w:szCs w:val="21"/>
    </w:rPr>
  </w:style>
  <w:style w:type="paragraph" w:styleId="7">
    <w:name w:val="Body Text"/>
    <w:basedOn w:val="1"/>
    <w:link w:val="49"/>
    <w:qFormat/>
    <w:uiPriority w:val="0"/>
    <w:pPr>
      <w:spacing w:line="380" w:lineRule="exact"/>
    </w:pPr>
    <w:rPr>
      <w:rFonts w:eastAsia="仿宋_GB2312"/>
      <w:sz w:val="28"/>
      <w:szCs w:val="20"/>
    </w:rPr>
  </w:style>
  <w:style w:type="paragraph" w:styleId="8">
    <w:name w:val="Body Text Indent"/>
    <w:basedOn w:val="1"/>
    <w:link w:val="38"/>
    <w:qFormat/>
    <w:uiPriority w:val="0"/>
    <w:pPr>
      <w:spacing w:line="460" w:lineRule="exact"/>
      <w:ind w:firstLine="630"/>
    </w:pPr>
    <w:rPr>
      <w:rFonts w:ascii="仿宋_GB2312" w:eastAsia="仿宋_GB2312"/>
      <w:sz w:val="32"/>
      <w:szCs w:val="20"/>
    </w:rPr>
  </w:style>
  <w:style w:type="paragraph" w:styleId="9">
    <w:name w:val="Plain Text"/>
    <w:basedOn w:val="1"/>
    <w:link w:val="44"/>
    <w:qFormat/>
    <w:uiPriority w:val="0"/>
    <w:pPr>
      <w:spacing w:line="460" w:lineRule="exact"/>
    </w:pPr>
    <w:rPr>
      <w:rFonts w:ascii="宋体" w:hAnsi="Courier New"/>
      <w:szCs w:val="20"/>
    </w:rPr>
  </w:style>
  <w:style w:type="paragraph" w:styleId="10">
    <w:name w:val="Date"/>
    <w:basedOn w:val="1"/>
    <w:next w:val="1"/>
    <w:link w:val="48"/>
    <w:qFormat/>
    <w:uiPriority w:val="0"/>
    <w:pPr>
      <w:ind w:left="100" w:leftChars="2500"/>
    </w:pPr>
    <w:rPr>
      <w:kern w:val="0"/>
      <w:sz w:val="24"/>
    </w:rPr>
  </w:style>
  <w:style w:type="paragraph" w:styleId="11">
    <w:name w:val="Body Text Indent 2"/>
    <w:basedOn w:val="1"/>
    <w:link w:val="42"/>
    <w:qFormat/>
    <w:uiPriority w:val="0"/>
    <w:pPr>
      <w:tabs>
        <w:tab w:val="left" w:pos="1809"/>
      </w:tabs>
      <w:adjustRightInd w:val="0"/>
      <w:spacing w:line="480" w:lineRule="exact"/>
      <w:ind w:firstLine="555"/>
      <w:jc w:val="left"/>
      <w:textAlignment w:val="bottom"/>
    </w:pPr>
    <w:rPr>
      <w:rFonts w:ascii="仿宋_GB2312" w:eastAsia="仿宋_GB2312"/>
      <w:kern w:val="0"/>
      <w:sz w:val="28"/>
      <w:szCs w:val="20"/>
    </w:rPr>
  </w:style>
  <w:style w:type="paragraph" w:styleId="12">
    <w:name w:val="Balloon Text"/>
    <w:basedOn w:val="1"/>
    <w:link w:val="53"/>
    <w:semiHidden/>
    <w:qFormat/>
    <w:uiPriority w:val="0"/>
    <w:rPr>
      <w:kern w:val="0"/>
      <w:sz w:val="18"/>
      <w:szCs w:val="18"/>
    </w:rPr>
  </w:style>
  <w:style w:type="paragraph" w:styleId="13">
    <w:name w:val="footer"/>
    <w:basedOn w:val="1"/>
    <w:link w:val="50"/>
    <w:qFormat/>
    <w:uiPriority w:val="99"/>
    <w:pPr>
      <w:tabs>
        <w:tab w:val="center" w:pos="4153"/>
        <w:tab w:val="right" w:pos="8306"/>
      </w:tabs>
      <w:snapToGrid w:val="0"/>
      <w:jc w:val="left"/>
    </w:pPr>
    <w:rPr>
      <w:kern w:val="0"/>
      <w:sz w:val="18"/>
      <w:szCs w:val="18"/>
    </w:rPr>
  </w:style>
  <w:style w:type="paragraph" w:styleId="14">
    <w:name w:val="header"/>
    <w:basedOn w:val="1"/>
    <w:link w:val="47"/>
    <w:qFormat/>
    <w:uiPriority w:val="0"/>
    <w:pPr>
      <w:pBdr>
        <w:bottom w:val="single" w:color="auto" w:sz="6" w:space="1"/>
      </w:pBdr>
      <w:tabs>
        <w:tab w:val="center" w:pos="4153"/>
        <w:tab w:val="right" w:pos="8306"/>
      </w:tabs>
      <w:snapToGrid w:val="0"/>
      <w:jc w:val="center"/>
    </w:pPr>
    <w:rPr>
      <w:kern w:val="0"/>
      <w:sz w:val="18"/>
      <w:szCs w:val="18"/>
    </w:rPr>
  </w:style>
  <w:style w:type="paragraph" w:styleId="15">
    <w:name w:val="Body Text Indent 3"/>
    <w:basedOn w:val="1"/>
    <w:link w:val="40"/>
    <w:qFormat/>
    <w:uiPriority w:val="0"/>
    <w:pPr>
      <w:adjustRightInd w:val="0"/>
      <w:snapToGrid w:val="0"/>
      <w:spacing w:line="360" w:lineRule="auto"/>
      <w:ind w:left="75" w:firstLine="345"/>
      <w:outlineLvl w:val="0"/>
    </w:pPr>
    <w:rPr>
      <w:rFonts w:ascii="宋体"/>
      <w:kern w:val="0"/>
      <w:szCs w:val="21"/>
    </w:rPr>
  </w:style>
  <w:style w:type="paragraph" w:styleId="16">
    <w:name w:val="Normal (Web)"/>
    <w:basedOn w:val="1"/>
    <w:qFormat/>
    <w:uiPriority w:val="99"/>
    <w:pPr>
      <w:widowControl/>
      <w:spacing w:before="100" w:beforeAutospacing="1" w:after="100" w:afterAutospacing="1" w:line="460" w:lineRule="exact"/>
      <w:jc w:val="left"/>
    </w:pPr>
    <w:rPr>
      <w:rFonts w:ascii="宋体" w:hAnsi="宋体"/>
      <w:kern w:val="0"/>
      <w:sz w:val="24"/>
    </w:rPr>
  </w:style>
  <w:style w:type="paragraph" w:styleId="17">
    <w:name w:val="annotation subject"/>
    <w:basedOn w:val="6"/>
    <w:next w:val="6"/>
    <w:link w:val="52"/>
    <w:semiHidden/>
    <w:qFormat/>
    <w:uiPriority w:val="0"/>
    <w:rPr>
      <w:b/>
      <w:bCs/>
    </w:rPr>
  </w:style>
  <w:style w:type="table" w:styleId="19">
    <w:name w:val="Table Grid"/>
    <w:basedOn w:val="1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qFormat/>
    <w:locked/>
    <w:uiPriority w:val="22"/>
    <w:rPr>
      <w:b/>
      <w:bCs/>
    </w:rPr>
  </w:style>
  <w:style w:type="character" w:styleId="22">
    <w:name w:val="page number"/>
    <w:qFormat/>
    <w:uiPriority w:val="0"/>
    <w:rPr>
      <w:rFonts w:cs="Times New Roman"/>
    </w:rPr>
  </w:style>
  <w:style w:type="character" w:styleId="23">
    <w:name w:val="FollowedHyperlink"/>
    <w:qFormat/>
    <w:uiPriority w:val="0"/>
    <w:rPr>
      <w:rFonts w:cs="Times New Roman"/>
      <w:color w:val="800080"/>
      <w:u w:val="single"/>
    </w:rPr>
  </w:style>
  <w:style w:type="character" w:styleId="24">
    <w:name w:val="Hyperlink"/>
    <w:qFormat/>
    <w:uiPriority w:val="0"/>
    <w:rPr>
      <w:rFonts w:cs="Times New Roman"/>
      <w:color w:val="1B227E"/>
      <w:u w:val="none"/>
    </w:rPr>
  </w:style>
  <w:style w:type="character" w:styleId="25">
    <w:name w:val="annotation reference"/>
    <w:semiHidden/>
    <w:qFormat/>
    <w:uiPriority w:val="99"/>
    <w:rPr>
      <w:rFonts w:cs="Times New Roman"/>
      <w:sz w:val="21"/>
      <w:szCs w:val="21"/>
    </w:rPr>
  </w:style>
  <w:style w:type="character" w:styleId="26">
    <w:name w:val="footnote reference"/>
    <w:semiHidden/>
    <w:qFormat/>
    <w:uiPriority w:val="0"/>
    <w:rPr>
      <w:rFonts w:cs="Times New Roman"/>
      <w:vertAlign w:val="superscript"/>
    </w:rPr>
  </w:style>
  <w:style w:type="paragraph" w:customStyle="1" w:styleId="27">
    <w:name w:val="大标题"/>
    <w:basedOn w:val="1"/>
    <w:qFormat/>
    <w:uiPriority w:val="0"/>
    <w:pPr>
      <w:adjustRightInd w:val="0"/>
      <w:spacing w:before="2840" w:line="320" w:lineRule="atLeast"/>
      <w:jc w:val="center"/>
      <w:textAlignment w:val="bottom"/>
    </w:pPr>
    <w:rPr>
      <w:rFonts w:eastAsia="文鼎大标宋简"/>
      <w:kern w:val="0"/>
      <w:sz w:val="36"/>
      <w:szCs w:val="20"/>
    </w:rPr>
  </w:style>
  <w:style w:type="paragraph" w:customStyle="1" w:styleId="28">
    <w:name w:val="ordinary-output"/>
    <w:basedOn w:val="1"/>
    <w:qFormat/>
    <w:uiPriority w:val="0"/>
    <w:pPr>
      <w:widowControl/>
      <w:spacing w:before="100" w:beforeAutospacing="1" w:after="75" w:line="330" w:lineRule="atLeast"/>
      <w:jc w:val="left"/>
    </w:pPr>
    <w:rPr>
      <w:rFonts w:ascii="宋体" w:hAnsi="宋体" w:cs="宋体"/>
      <w:color w:val="333333"/>
      <w:kern w:val="0"/>
      <w:sz w:val="27"/>
      <w:szCs w:val="27"/>
    </w:rPr>
  </w:style>
  <w:style w:type="paragraph" w:customStyle="1" w:styleId="29">
    <w:name w:val="修订1"/>
    <w:qFormat/>
    <w:uiPriority w:val="0"/>
    <w:pPr>
      <w:spacing w:after="160" w:line="278" w:lineRule="auto"/>
    </w:pPr>
    <w:rPr>
      <w:rFonts w:ascii="Times New Roman" w:hAnsi="Times New Roman" w:eastAsia="宋体" w:cs="Times New Roman"/>
      <w:kern w:val="2"/>
      <w:sz w:val="21"/>
      <w:szCs w:val="24"/>
      <w:lang w:val="en-US" w:eastAsia="zh-CN" w:bidi="ar-SA"/>
    </w:rPr>
  </w:style>
  <w:style w:type="paragraph" w:customStyle="1" w:styleId="30">
    <w:name w:val="reader-word-layer reader-word-s19-13"/>
    <w:basedOn w:val="1"/>
    <w:qFormat/>
    <w:uiPriority w:val="0"/>
    <w:pPr>
      <w:widowControl/>
      <w:spacing w:before="100" w:beforeAutospacing="1" w:after="100" w:afterAutospacing="1" w:line="460" w:lineRule="exact"/>
      <w:jc w:val="left"/>
    </w:pPr>
    <w:rPr>
      <w:rFonts w:ascii="宋体" w:hAnsi="宋体" w:cs="宋体"/>
      <w:kern w:val="0"/>
      <w:sz w:val="24"/>
    </w:rPr>
  </w:style>
  <w:style w:type="paragraph" w:customStyle="1" w:styleId="31">
    <w:name w:val="reader-word-layer reader-word-s19-5"/>
    <w:basedOn w:val="1"/>
    <w:qFormat/>
    <w:uiPriority w:val="0"/>
    <w:pPr>
      <w:widowControl/>
      <w:spacing w:before="100" w:beforeAutospacing="1" w:after="100" w:afterAutospacing="1" w:line="460" w:lineRule="exact"/>
      <w:jc w:val="left"/>
    </w:pPr>
    <w:rPr>
      <w:rFonts w:ascii="宋体" w:hAnsi="宋体" w:cs="宋体"/>
      <w:kern w:val="0"/>
      <w:sz w:val="24"/>
    </w:rPr>
  </w:style>
  <w:style w:type="paragraph" w:customStyle="1" w:styleId="32">
    <w:name w:val="修订2"/>
    <w:semiHidden/>
    <w:qFormat/>
    <w:uiPriority w:val="99"/>
    <w:pPr>
      <w:spacing w:after="160" w:line="278" w:lineRule="auto"/>
    </w:pPr>
    <w:rPr>
      <w:rFonts w:ascii="Times New Roman" w:hAnsi="Times New Roman" w:eastAsia="宋体" w:cs="Times New Roman"/>
      <w:kern w:val="2"/>
      <w:sz w:val="21"/>
      <w:szCs w:val="24"/>
      <w:lang w:val="en-US" w:eastAsia="zh-CN" w:bidi="ar-SA"/>
    </w:rPr>
  </w:style>
  <w:style w:type="paragraph" w:customStyle="1" w:styleId="33">
    <w:name w:val="函号"/>
    <w:basedOn w:val="1"/>
    <w:qFormat/>
    <w:uiPriority w:val="0"/>
    <w:pPr>
      <w:adjustRightInd w:val="0"/>
      <w:spacing w:line="440" w:lineRule="atLeast"/>
      <w:jc w:val="right"/>
      <w:textAlignment w:val="bottom"/>
    </w:pPr>
    <w:rPr>
      <w:rFonts w:eastAsia="仿宋_GB2312"/>
      <w:kern w:val="0"/>
      <w:sz w:val="28"/>
      <w:szCs w:val="20"/>
    </w:rPr>
  </w:style>
  <w:style w:type="paragraph" w:customStyle="1" w:styleId="34">
    <w:name w:val="列出段落1"/>
    <w:basedOn w:val="1"/>
    <w:qFormat/>
    <w:uiPriority w:val="0"/>
    <w:pPr>
      <w:ind w:firstLine="420" w:firstLineChars="200"/>
    </w:pPr>
  </w:style>
  <w:style w:type="paragraph" w:customStyle="1" w:styleId="35">
    <w:name w:val="文号"/>
    <w:basedOn w:val="1"/>
    <w:qFormat/>
    <w:uiPriority w:val="0"/>
    <w:pPr>
      <w:adjustRightInd w:val="0"/>
      <w:spacing w:before="2550" w:line="360" w:lineRule="atLeast"/>
      <w:jc w:val="center"/>
      <w:textAlignment w:val="baseline"/>
    </w:pPr>
    <w:rPr>
      <w:rFonts w:eastAsia="仿宋_GB2312"/>
      <w:kern w:val="0"/>
      <w:sz w:val="28"/>
      <w:szCs w:val="20"/>
    </w:rPr>
  </w:style>
  <w:style w:type="paragraph" w:customStyle="1" w:styleId="36">
    <w:name w:val="主题词"/>
    <w:basedOn w:val="1"/>
    <w:qFormat/>
    <w:uiPriority w:val="0"/>
    <w:pPr>
      <w:adjustRightInd w:val="0"/>
      <w:spacing w:line="440" w:lineRule="atLeast"/>
      <w:jc w:val="left"/>
      <w:textAlignment w:val="bottom"/>
    </w:pPr>
    <w:rPr>
      <w:rFonts w:eastAsia="黑体"/>
      <w:kern w:val="0"/>
      <w:sz w:val="28"/>
      <w:szCs w:val="20"/>
    </w:rPr>
  </w:style>
  <w:style w:type="character" w:customStyle="1" w:styleId="37">
    <w:name w:val="标题 1 字符"/>
    <w:link w:val="2"/>
    <w:qFormat/>
    <w:locked/>
    <w:uiPriority w:val="0"/>
    <w:rPr>
      <w:rFonts w:cs="Times New Roman"/>
      <w:b/>
      <w:bCs/>
      <w:kern w:val="44"/>
      <w:sz w:val="44"/>
      <w:szCs w:val="44"/>
    </w:rPr>
  </w:style>
  <w:style w:type="character" w:customStyle="1" w:styleId="38">
    <w:name w:val="正文文本缩进 字符"/>
    <w:link w:val="8"/>
    <w:qFormat/>
    <w:locked/>
    <w:uiPriority w:val="0"/>
    <w:rPr>
      <w:rFonts w:ascii="仿宋_GB2312" w:eastAsia="仿宋_GB2312" w:cs="Times New Roman"/>
      <w:kern w:val="2"/>
      <w:sz w:val="32"/>
    </w:rPr>
  </w:style>
  <w:style w:type="character" w:customStyle="1" w:styleId="39">
    <w:name w:val="标题 2 字符"/>
    <w:link w:val="3"/>
    <w:qFormat/>
    <w:locked/>
    <w:uiPriority w:val="0"/>
    <w:rPr>
      <w:rFonts w:ascii="宋体" w:eastAsia="宋体" w:cs="Times New Roman"/>
      <w:b/>
      <w:bCs/>
      <w:sz w:val="36"/>
      <w:szCs w:val="36"/>
    </w:rPr>
  </w:style>
  <w:style w:type="character" w:customStyle="1" w:styleId="40">
    <w:name w:val="正文文本缩进 3 字符"/>
    <w:link w:val="15"/>
    <w:qFormat/>
    <w:locked/>
    <w:uiPriority w:val="0"/>
    <w:rPr>
      <w:rFonts w:ascii="宋体" w:eastAsia="宋体" w:cs="Times New Roman"/>
      <w:sz w:val="21"/>
      <w:szCs w:val="21"/>
    </w:rPr>
  </w:style>
  <w:style w:type="character" w:customStyle="1" w:styleId="41">
    <w:name w:val="edited2"/>
    <w:qFormat/>
    <w:uiPriority w:val="0"/>
    <w:rPr>
      <w:rFonts w:cs="Times New Roman"/>
    </w:rPr>
  </w:style>
  <w:style w:type="character" w:customStyle="1" w:styleId="42">
    <w:name w:val="正文文本缩进 2 字符"/>
    <w:link w:val="11"/>
    <w:qFormat/>
    <w:locked/>
    <w:uiPriority w:val="0"/>
    <w:rPr>
      <w:rFonts w:ascii="仿宋_GB2312" w:eastAsia="仿宋_GB2312" w:cs="Times New Roman"/>
      <w:sz w:val="28"/>
    </w:rPr>
  </w:style>
  <w:style w:type="character" w:customStyle="1" w:styleId="43">
    <w:name w:val="high-light-bg4"/>
    <w:qFormat/>
    <w:uiPriority w:val="0"/>
    <w:rPr>
      <w:rFonts w:cs="Times New Roman"/>
    </w:rPr>
  </w:style>
  <w:style w:type="character" w:customStyle="1" w:styleId="44">
    <w:name w:val="纯文本 字符"/>
    <w:link w:val="9"/>
    <w:qFormat/>
    <w:locked/>
    <w:uiPriority w:val="0"/>
    <w:rPr>
      <w:rFonts w:ascii="宋体" w:hAnsi="Courier New" w:cs="Times New Roman"/>
      <w:kern w:val="2"/>
      <w:sz w:val="21"/>
    </w:rPr>
  </w:style>
  <w:style w:type="character" w:customStyle="1" w:styleId="45">
    <w:name w:val="批注文字 字符"/>
    <w:link w:val="6"/>
    <w:qFormat/>
    <w:locked/>
    <w:uiPriority w:val="99"/>
    <w:rPr>
      <w:rFonts w:ascii="Calibri" w:hAnsi="Calibri" w:cs="Calibri"/>
      <w:kern w:val="2"/>
      <w:sz w:val="21"/>
      <w:szCs w:val="21"/>
    </w:rPr>
  </w:style>
  <w:style w:type="character" w:customStyle="1" w:styleId="46">
    <w:name w:val="unnamed2"/>
    <w:qFormat/>
    <w:uiPriority w:val="0"/>
    <w:rPr>
      <w:rFonts w:cs="Times New Roman"/>
    </w:rPr>
  </w:style>
  <w:style w:type="character" w:customStyle="1" w:styleId="47">
    <w:name w:val="页眉 字符"/>
    <w:link w:val="14"/>
    <w:qFormat/>
    <w:locked/>
    <w:uiPriority w:val="0"/>
    <w:rPr>
      <w:rFonts w:cs="Times New Roman"/>
      <w:sz w:val="18"/>
      <w:szCs w:val="18"/>
    </w:rPr>
  </w:style>
  <w:style w:type="character" w:customStyle="1" w:styleId="48">
    <w:name w:val="日期 字符"/>
    <w:link w:val="10"/>
    <w:qFormat/>
    <w:locked/>
    <w:uiPriority w:val="0"/>
    <w:rPr>
      <w:rFonts w:cs="Times New Roman"/>
      <w:sz w:val="24"/>
      <w:szCs w:val="24"/>
    </w:rPr>
  </w:style>
  <w:style w:type="character" w:customStyle="1" w:styleId="49">
    <w:name w:val="正文文本 字符"/>
    <w:link w:val="7"/>
    <w:qFormat/>
    <w:locked/>
    <w:uiPriority w:val="0"/>
    <w:rPr>
      <w:rFonts w:eastAsia="仿宋_GB2312" w:cs="Times New Roman"/>
      <w:kern w:val="2"/>
      <w:sz w:val="28"/>
    </w:rPr>
  </w:style>
  <w:style w:type="character" w:customStyle="1" w:styleId="50">
    <w:name w:val="页脚 字符"/>
    <w:link w:val="13"/>
    <w:qFormat/>
    <w:locked/>
    <w:uiPriority w:val="99"/>
    <w:rPr>
      <w:rFonts w:cs="Times New Roman"/>
      <w:sz w:val="18"/>
      <w:szCs w:val="18"/>
    </w:rPr>
  </w:style>
  <w:style w:type="character" w:customStyle="1" w:styleId="51">
    <w:name w:val="文档结构图 字符"/>
    <w:link w:val="5"/>
    <w:qFormat/>
    <w:locked/>
    <w:uiPriority w:val="0"/>
    <w:rPr>
      <w:rFonts w:ascii="宋体" w:cs="Times New Roman"/>
      <w:sz w:val="18"/>
      <w:szCs w:val="18"/>
    </w:rPr>
  </w:style>
  <w:style w:type="character" w:customStyle="1" w:styleId="52">
    <w:name w:val="批注主题 字符"/>
    <w:link w:val="17"/>
    <w:semiHidden/>
    <w:qFormat/>
    <w:locked/>
    <w:uiPriority w:val="0"/>
    <w:rPr>
      <w:rFonts w:ascii="Calibri" w:hAnsi="Calibri" w:cs="Calibri"/>
      <w:b/>
      <w:bCs/>
      <w:kern w:val="2"/>
      <w:sz w:val="21"/>
      <w:szCs w:val="21"/>
    </w:rPr>
  </w:style>
  <w:style w:type="character" w:customStyle="1" w:styleId="53">
    <w:name w:val="批注框文本 字符"/>
    <w:link w:val="12"/>
    <w:qFormat/>
    <w:locked/>
    <w:uiPriority w:val="0"/>
    <w:rPr>
      <w:rFonts w:cs="Times New Roman"/>
      <w:sz w:val="18"/>
      <w:szCs w:val="18"/>
    </w:rPr>
  </w:style>
  <w:style w:type="paragraph" w:customStyle="1" w:styleId="54">
    <w:name w:val="正文1"/>
    <w:qFormat/>
    <w:uiPriority w:val="0"/>
    <w:pPr>
      <w:spacing w:after="160" w:line="278" w:lineRule="auto"/>
      <w:jc w:val="both"/>
    </w:pPr>
    <w:rPr>
      <w:rFonts w:ascii="Times New Roman" w:hAnsi="Times New Roman" w:eastAsia="宋体" w:cs="Times New Roman"/>
      <w:kern w:val="2"/>
      <w:sz w:val="21"/>
      <w:szCs w:val="21"/>
      <w:lang w:val="en-US" w:eastAsia="zh-CN" w:bidi="ar-SA"/>
    </w:rPr>
  </w:style>
  <w:style w:type="paragraph" w:customStyle="1" w:styleId="55">
    <w:name w:val="列出段落2"/>
    <w:basedOn w:val="1"/>
    <w:qFormat/>
    <w:uiPriority w:val="0"/>
    <w:pPr>
      <w:ind w:firstLine="420" w:firstLineChars="200"/>
    </w:pPr>
    <w:rPr>
      <w:rFonts w:ascii="等线" w:hAnsi="等线" w:eastAsia="等线"/>
      <w:szCs w:val="21"/>
    </w:rPr>
  </w:style>
  <w:style w:type="paragraph" w:styleId="56">
    <w:name w:val="List Paragraph"/>
    <w:basedOn w:val="1"/>
    <w:qFormat/>
    <w:uiPriority w:val="34"/>
    <w:pPr>
      <w:ind w:firstLine="420" w:firstLineChars="200"/>
    </w:pPr>
    <w:rPr>
      <w:rFonts w:asciiTheme="minorHAnsi" w:hAnsiTheme="minorHAnsi" w:eastAsiaTheme="minorEastAsia" w:cstheme="minorBidi"/>
      <w:szCs w:val="22"/>
    </w:rPr>
  </w:style>
  <w:style w:type="paragraph" w:customStyle="1" w:styleId="57">
    <w:name w:val="修订3"/>
    <w:hidden/>
    <w:semiHidden/>
    <w:qFormat/>
    <w:uiPriority w:val="99"/>
    <w:pPr>
      <w:spacing w:after="160" w:line="278" w:lineRule="auto"/>
    </w:pPr>
    <w:rPr>
      <w:rFonts w:ascii="Times New Roman" w:hAnsi="Times New Roman" w:eastAsia="宋体" w:cs="Times New Roman"/>
      <w:kern w:val="2"/>
      <w:sz w:val="21"/>
      <w:szCs w:val="24"/>
      <w:lang w:val="en-US" w:eastAsia="zh-CN" w:bidi="ar-SA"/>
    </w:rPr>
  </w:style>
  <w:style w:type="paragraph" w:customStyle="1" w:styleId="58">
    <w:name w:val="修订4"/>
    <w:hidden/>
    <w:semiHidden/>
    <w:qFormat/>
    <w:uiPriority w:val="99"/>
    <w:pPr>
      <w:spacing w:after="160" w:line="278" w:lineRule="auto"/>
    </w:pPr>
    <w:rPr>
      <w:rFonts w:ascii="Times New Roman" w:hAnsi="Times New Roman" w:eastAsia="宋体" w:cs="Times New Roman"/>
      <w:kern w:val="2"/>
      <w:sz w:val="21"/>
      <w:szCs w:val="24"/>
      <w:lang w:val="en-US" w:eastAsia="zh-CN" w:bidi="ar-SA"/>
    </w:rPr>
  </w:style>
  <w:style w:type="paragraph" w:customStyle="1" w:styleId="59">
    <w:name w:val="修订5"/>
    <w:hidden/>
    <w:semiHidden/>
    <w:qFormat/>
    <w:uiPriority w:val="99"/>
    <w:pPr>
      <w:spacing w:after="160" w:line="278" w:lineRule="auto"/>
    </w:pPr>
    <w:rPr>
      <w:rFonts w:ascii="Times New Roman" w:hAnsi="Times New Roman" w:eastAsia="宋体" w:cs="Times New Roman"/>
      <w:kern w:val="2"/>
      <w:sz w:val="21"/>
      <w:szCs w:val="24"/>
      <w:lang w:val="en-US" w:eastAsia="zh-CN" w:bidi="ar-SA"/>
    </w:rPr>
  </w:style>
  <w:style w:type="paragraph" w:customStyle="1" w:styleId="60">
    <w:name w:val="修订6"/>
    <w:hidden/>
    <w:semiHidden/>
    <w:qFormat/>
    <w:uiPriority w:val="99"/>
    <w:pPr>
      <w:spacing w:after="160" w:line="278" w:lineRule="auto"/>
    </w:pPr>
    <w:rPr>
      <w:rFonts w:ascii="Times New Roman" w:hAnsi="Times New Roman" w:eastAsia="宋体" w:cs="Times New Roman"/>
      <w:kern w:val="2"/>
      <w:sz w:val="21"/>
      <w:szCs w:val="24"/>
      <w:lang w:val="en-US" w:eastAsia="zh-CN" w:bidi="ar-SA"/>
    </w:rPr>
  </w:style>
  <w:style w:type="paragraph" w:customStyle="1" w:styleId="61">
    <w:name w:val="修订7"/>
    <w:hidden/>
    <w:semiHidden/>
    <w:qFormat/>
    <w:uiPriority w:val="99"/>
    <w:pPr>
      <w:spacing w:after="160" w:line="278" w:lineRule="auto"/>
    </w:pPr>
    <w:rPr>
      <w:rFonts w:ascii="Times New Roman" w:hAnsi="Times New Roman" w:eastAsia="宋体" w:cs="Times New Roman"/>
      <w:kern w:val="2"/>
      <w:sz w:val="21"/>
      <w:szCs w:val="24"/>
      <w:lang w:val="en-US" w:eastAsia="zh-CN" w:bidi="ar-SA"/>
    </w:rPr>
  </w:style>
  <w:style w:type="paragraph" w:customStyle="1" w:styleId="62">
    <w:name w:val="修订8"/>
    <w:hidden/>
    <w:semiHidden/>
    <w:qFormat/>
    <w:uiPriority w:val="99"/>
    <w:pPr>
      <w:spacing w:after="160" w:line="278" w:lineRule="auto"/>
    </w:pPr>
    <w:rPr>
      <w:rFonts w:ascii="Times New Roman" w:hAnsi="Times New Roman" w:eastAsia="宋体" w:cs="Times New Roman"/>
      <w:kern w:val="2"/>
      <w:sz w:val="21"/>
      <w:szCs w:val="24"/>
      <w:lang w:val="en-US" w:eastAsia="zh-CN" w:bidi="ar-SA"/>
    </w:rPr>
  </w:style>
  <w:style w:type="paragraph" w:customStyle="1" w:styleId="63">
    <w:name w:val="修订9"/>
    <w:hidden/>
    <w:semiHidden/>
    <w:qFormat/>
    <w:uiPriority w:val="99"/>
    <w:pPr>
      <w:spacing w:after="160" w:line="278" w:lineRule="auto"/>
    </w:pPr>
    <w:rPr>
      <w:rFonts w:ascii="Times New Roman" w:hAnsi="Times New Roman" w:eastAsia="宋体" w:cs="Times New Roman"/>
      <w:kern w:val="2"/>
      <w:sz w:val="21"/>
      <w:szCs w:val="24"/>
      <w:lang w:val="en-US" w:eastAsia="zh-CN" w:bidi="ar-SA"/>
    </w:rPr>
  </w:style>
  <w:style w:type="paragraph" w:customStyle="1" w:styleId="64">
    <w:name w:val="修订10"/>
    <w:hidden/>
    <w:semiHidden/>
    <w:qFormat/>
    <w:uiPriority w:val="99"/>
    <w:pPr>
      <w:spacing w:after="160" w:line="278" w:lineRule="auto"/>
    </w:pPr>
    <w:rPr>
      <w:rFonts w:ascii="Times New Roman" w:hAnsi="Times New Roman" w:eastAsia="宋体" w:cs="Times New Roman"/>
      <w:kern w:val="2"/>
      <w:sz w:val="21"/>
      <w:szCs w:val="24"/>
      <w:lang w:val="en-US" w:eastAsia="zh-CN" w:bidi="ar-SA"/>
    </w:rPr>
  </w:style>
  <w:style w:type="paragraph" w:customStyle="1" w:styleId="65">
    <w:name w:val="修订11"/>
    <w:hidden/>
    <w:semiHidden/>
    <w:qFormat/>
    <w:uiPriority w:val="99"/>
    <w:pPr>
      <w:spacing w:after="160" w:line="278" w:lineRule="auto"/>
    </w:pPr>
    <w:rPr>
      <w:rFonts w:ascii="Times New Roman" w:hAnsi="Times New Roman" w:eastAsia="宋体" w:cs="Times New Roman"/>
      <w:kern w:val="2"/>
      <w:sz w:val="21"/>
      <w:szCs w:val="24"/>
      <w:lang w:val="en-US" w:eastAsia="zh-CN" w:bidi="ar-SA"/>
    </w:rPr>
  </w:style>
  <w:style w:type="table" w:customStyle="1" w:styleId="66">
    <w:name w:val="Table Normal"/>
    <w:semiHidden/>
    <w:unhideWhenUsed/>
    <w:qFormat/>
    <w:uiPriority w:val="0"/>
    <w:rPr>
      <w:rFonts w:ascii="Arial" w:hAnsi="Arial" w:cs="Arial"/>
      <w:snapToGrid w:val="0"/>
      <w:color w:val="000000"/>
      <w:szCs w:val="21"/>
      <w:lang w:eastAsia="en-US"/>
    </w:rPr>
    <w:tblPr>
      <w:tblCellMar>
        <w:top w:w="0" w:type="dxa"/>
        <w:left w:w="0" w:type="dxa"/>
        <w:bottom w:w="0" w:type="dxa"/>
        <w:right w:w="0" w:type="dxa"/>
      </w:tblCellMar>
    </w:tblPr>
  </w:style>
  <w:style w:type="paragraph" w:customStyle="1" w:styleId="67">
    <w:name w:val="修订12"/>
    <w:hidden/>
    <w:unhideWhenUsed/>
    <w:qFormat/>
    <w:uiPriority w:val="99"/>
    <w:pPr>
      <w:spacing w:after="160" w:line="278" w:lineRule="auto"/>
    </w:pPr>
    <w:rPr>
      <w:rFonts w:ascii="Times New Roman" w:hAnsi="Times New Roman" w:eastAsia="宋体" w:cs="Times New Roman"/>
      <w:kern w:val="2"/>
      <w:sz w:val="21"/>
      <w:szCs w:val="24"/>
      <w:lang w:val="en-US" w:eastAsia="zh-CN" w:bidi="ar-SA"/>
    </w:rPr>
  </w:style>
  <w:style w:type="character" w:customStyle="1" w:styleId="68">
    <w:name w:val="fontstyle01"/>
    <w:basedOn w:val="20"/>
    <w:qFormat/>
    <w:uiPriority w:val="0"/>
    <w:rPr>
      <w:rFonts w:hint="default" w:ascii="仿宋" w:hAnsi="仿宋"/>
      <w:color w:val="000000"/>
      <w:sz w:val="22"/>
      <w:szCs w:val="22"/>
    </w:rPr>
  </w:style>
  <w:style w:type="character" w:customStyle="1" w:styleId="69">
    <w:name w:val="fontstyle21"/>
    <w:basedOn w:val="20"/>
    <w:qFormat/>
    <w:uiPriority w:val="0"/>
    <w:rPr>
      <w:rFonts w:hint="eastAsia" w:ascii="宋体" w:hAnsi="宋体" w:eastAsia="宋体"/>
      <w:color w:val="000000"/>
      <w:sz w:val="24"/>
      <w:szCs w:val="24"/>
    </w:rPr>
  </w:style>
  <w:style w:type="paragraph" w:customStyle="1" w:styleId="70">
    <w:name w:val="修订13"/>
    <w:hidden/>
    <w:unhideWhenUsed/>
    <w:qFormat/>
    <w:uiPriority w:val="99"/>
    <w:rPr>
      <w:rFonts w:ascii="Times New Roman" w:hAnsi="Times New Roman" w:eastAsia="宋体" w:cs="Times New Roman"/>
      <w:kern w:val="2"/>
      <w:sz w:val="21"/>
      <w:szCs w:val="24"/>
      <w:lang w:val="en-US" w:eastAsia="zh-CN" w:bidi="ar-SA"/>
    </w:rPr>
  </w:style>
  <w:style w:type="paragraph" w:customStyle="1" w:styleId="71">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Pages>
  <Words>1853</Words>
  <Characters>1974</Characters>
  <Lines>146</Lines>
  <Paragraphs>41</Paragraphs>
  <TotalTime>12</TotalTime>
  <ScaleCrop>false</ScaleCrop>
  <LinksUpToDate>false</LinksUpToDate>
  <CharactersWithSpaces>1986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2026-03-25T07:51:00Z</dcterms:created>
  <dc:creator>kongjian</dc:creator>
  <cp:lastModifiedBy>马yt</cp:lastModifiedBy>
  <cp:lastPrinted>2023-03-09T22:50:00Z</cp:lastPrinted>
  <dcterms:modified xsi:type="dcterms:W3CDTF">2026-04-23T01:08:40Z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8DDA015C05D2479781C54FE4905CD209_13</vt:lpwstr>
  </property>
  <property fmtid="{D5CDD505-2E9C-101B-9397-08002B2CF9AE}" pid="4" name="KSOTemplateDocerSaveRecord">
    <vt:lpwstr>eyJoZGlkIjoiMmRkMzNkNTUxYzNhODE1OGY1MWM1YzZkNGQ2MWIwMDgifQ==</vt:lpwstr>
  </property>
</Properties>
</file>